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4" w:rsidRDefault="004C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198245"/>
            <wp:effectExtent l="0" t="0" r="0" b="0"/>
            <wp:docPr id="11" name="image1.png" descr="Y:\Бланки\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:\Бланки\hea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694" w:rsidRDefault="00500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694" w:rsidRDefault="004C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результатам ОГЭ по русскому языку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общеобразовательных организациях Поволжского округа</w:t>
      </w: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приказов Министерства Просвещения Российской Федерации и Федеральной службы по надзору в сфере образования и науки от 16.11.2022г.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г.» и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16.11.2022г. № 990/1144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для обучающихся 9-ых классов в общеобразовательных организациях, подведомственных Поволжскому управлению 06 июня 2023 года состоялся ОГЭ по русскому языку.</w:t>
      </w: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Государственная итоговая аттестация по русскому языку проводилась в форме основного государственного экзамена и государственного выпускного экзамена в утвержденных пунктах проведения экзамена с привлечением общественных наблюдателей.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ОГЭ по русскому языку в форме основного государственного экзамена 6 июня 2023 года приняли участие 1914 девятиклассников. Анализ количественных результатов выполнения работы позволил установить, что 1898  обучающихся справились с работой. Успеваемость составила 99,2%. 16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 не освоили образовательный стандарт (0,8%). На «4» и «5» работу выполнили 1548 человек, что составило 80,9% от общего количества, выполнявших работу. 100% успеваемость и высокие показатели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(свыше 70%) показали школы: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ГБОУ гимназия №1 г. Новокуйбышевска,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ГБОУ ООШ № 12 пос. Шмидта г.о. Новокуйбышевск, ГБОУ ООШ № 13 г. Новокуйбышевска, ГБОУ ООШ № 15 г. Новокуйбышевска, ГБОУ ООШ № 17 г. Новокуйбышевск, ГБОУ ООШ № 18 г. Новокуйбышевска, ГБОУ ООШ № 19 г. Новокуйбышевска,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ГБОУ ООШ № 21 г. Новокуйбышевска, ГБОУ ООШ № 4 г. Новокуйбышевска, ГБОУ ООШ № 9 г. Новокуйбышевска, ГБОУ СОШ № 5 "ОЦ" г. Новокуйбышевска, ГБОУ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СОШ № 7 "ОЦ" г. Новокуйбышевска, ГБОУ СОШ № 8 "ОЦ" г. Новокуйбышевска,  ГБОУ ООШ № 2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ГБОУ СОШ "ОЦ"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"ОЦ" с. Подъем-Михайловка, ГБОУ СОШ № 1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1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3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СОШ с. Рождествено, ГБОУ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СОШ с. Сухая Вязовка, ГБОУ СОШ с. Черноречье.</w:t>
      </w:r>
      <w:proofErr w:type="gramEnd"/>
    </w:p>
    <w:p w:rsidR="00500694" w:rsidRDefault="004C4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Успеваемость 100% и 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39,5% показали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ООШ № 11, успеваемость ниже 100% и 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38,2% показали обучающиеся ГБОУ ООШ № 20.</w:t>
      </w:r>
    </w:p>
    <w:p w:rsidR="00500694" w:rsidRDefault="004C4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ОГЭ по русскому языку в сравнении по АТЕ</w:t>
      </w:r>
    </w:p>
    <w:tbl>
      <w:tblPr>
        <w:tblStyle w:val="afc"/>
        <w:tblW w:w="99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51"/>
        <w:gridCol w:w="567"/>
        <w:gridCol w:w="608"/>
        <w:gridCol w:w="668"/>
        <w:gridCol w:w="642"/>
        <w:gridCol w:w="642"/>
        <w:gridCol w:w="635"/>
        <w:gridCol w:w="635"/>
        <w:gridCol w:w="580"/>
        <w:gridCol w:w="992"/>
        <w:gridCol w:w="709"/>
      </w:tblGrid>
      <w:tr w:rsidR="00500694">
        <w:trPr>
          <w:cantSplit/>
          <w:tblHeader/>
        </w:trPr>
        <w:tc>
          <w:tcPr>
            <w:tcW w:w="2376" w:type="dxa"/>
            <w:vMerge w:val="restart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851" w:type="dxa"/>
            <w:vMerge w:val="restart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77" w:type="dxa"/>
            <w:gridSpan w:val="8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992" w:type="dxa"/>
            <w:vMerge w:val="restart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09" w:type="dxa"/>
            <w:vMerge w:val="restart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500694">
        <w:trPr>
          <w:cantSplit/>
          <w:tblHeader/>
        </w:trPr>
        <w:tc>
          <w:tcPr>
            <w:tcW w:w="2376" w:type="dxa"/>
            <w:vMerge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08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68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42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35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35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580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vMerge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694">
        <w:trPr>
          <w:cantSplit/>
          <w:tblHeader/>
        </w:trPr>
        <w:tc>
          <w:tcPr>
            <w:tcW w:w="2376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851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7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295</w:t>
            </w:r>
          </w:p>
        </w:tc>
        <w:tc>
          <w:tcPr>
            <w:tcW w:w="60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36,8%</w:t>
            </w:r>
          </w:p>
        </w:tc>
        <w:tc>
          <w:tcPr>
            <w:tcW w:w="66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46,3%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16,4%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0,5%</w:t>
            </w:r>
          </w:p>
        </w:tc>
        <w:tc>
          <w:tcPr>
            <w:tcW w:w="99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99,5%</w:t>
            </w:r>
          </w:p>
        </w:tc>
        <w:tc>
          <w:tcPr>
            <w:tcW w:w="709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83,1%</w:t>
            </w:r>
          </w:p>
        </w:tc>
      </w:tr>
      <w:tr w:rsidR="00500694">
        <w:trPr>
          <w:cantSplit/>
          <w:tblHeader/>
        </w:trPr>
        <w:tc>
          <w:tcPr>
            <w:tcW w:w="2376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851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67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394</w:t>
            </w:r>
          </w:p>
        </w:tc>
        <w:tc>
          <w:tcPr>
            <w:tcW w:w="60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35,4%</w:t>
            </w:r>
          </w:p>
        </w:tc>
        <w:tc>
          <w:tcPr>
            <w:tcW w:w="66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488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43,8%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19,7%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80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1,1%</w:t>
            </w:r>
          </w:p>
        </w:tc>
        <w:tc>
          <w:tcPr>
            <w:tcW w:w="99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98,9%</w:t>
            </w:r>
          </w:p>
        </w:tc>
        <w:tc>
          <w:tcPr>
            <w:tcW w:w="709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79,2%</w:t>
            </w:r>
          </w:p>
        </w:tc>
      </w:tr>
      <w:tr w:rsidR="00500694">
        <w:trPr>
          <w:cantSplit/>
          <w:tblHeader/>
        </w:trPr>
        <w:tc>
          <w:tcPr>
            <w:tcW w:w="2376" w:type="dxa"/>
          </w:tcPr>
          <w:p w:rsidR="00500694" w:rsidRDefault="004C4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851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567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689</w:t>
            </w:r>
          </w:p>
        </w:tc>
        <w:tc>
          <w:tcPr>
            <w:tcW w:w="60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36,0%</w:t>
            </w:r>
          </w:p>
        </w:tc>
        <w:tc>
          <w:tcPr>
            <w:tcW w:w="668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859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44,9%</w:t>
            </w:r>
          </w:p>
        </w:tc>
        <w:tc>
          <w:tcPr>
            <w:tcW w:w="64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18,3%</w:t>
            </w:r>
          </w:p>
        </w:tc>
        <w:tc>
          <w:tcPr>
            <w:tcW w:w="635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80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0,8%</w:t>
            </w:r>
          </w:p>
        </w:tc>
        <w:tc>
          <w:tcPr>
            <w:tcW w:w="992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99,2%</w:t>
            </w:r>
          </w:p>
        </w:tc>
        <w:tc>
          <w:tcPr>
            <w:tcW w:w="709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80,9%</w:t>
            </w:r>
          </w:p>
        </w:tc>
      </w:tr>
    </w:tbl>
    <w:p w:rsidR="00500694" w:rsidRDefault="00500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94" w:rsidRDefault="00500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94" w:rsidRDefault="004C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в разрезе образовательных учреждений</w:t>
      </w:r>
    </w:p>
    <w:tbl>
      <w:tblPr>
        <w:tblStyle w:val="afd"/>
        <w:tblW w:w="10880" w:type="dxa"/>
        <w:tblInd w:w="-858" w:type="dxa"/>
        <w:tblLayout w:type="fixed"/>
        <w:tblLook w:val="0400" w:firstRow="0" w:lastRow="0" w:firstColumn="0" w:lastColumn="0" w:noHBand="0" w:noVBand="1"/>
      </w:tblPr>
      <w:tblGrid>
        <w:gridCol w:w="2446"/>
        <w:gridCol w:w="1163"/>
        <w:gridCol w:w="786"/>
        <w:gridCol w:w="992"/>
        <w:gridCol w:w="784"/>
        <w:gridCol w:w="784"/>
        <w:gridCol w:w="908"/>
        <w:gridCol w:w="926"/>
        <w:gridCol w:w="1134"/>
        <w:gridCol w:w="957"/>
      </w:tblGrid>
      <w:tr w:rsidR="00500694">
        <w:trPr>
          <w:cantSplit/>
          <w:trHeight w:val="660"/>
          <w:tblHeader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ОО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количество участников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"2"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"3"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"4"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"5"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средняя отметка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качество знаний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97,0%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ГБОУ ООШ № 11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39,5%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12 пос. Шмидта г.о. Новокуйбышевск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13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75,0%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15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76,9%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17 г. Новокуйбышевск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78,6%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74,6%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94,4%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38,2%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21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87,9%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4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90,9%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84,5%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№ 9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77,3%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93,4%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87,2%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№ 7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86,9%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94,5%</w:t>
            </w:r>
          </w:p>
        </w:tc>
      </w:tr>
      <w:tr w:rsidR="00500694">
        <w:trPr>
          <w:cantSplit/>
          <w:trHeight w:val="72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ИТОГО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г.о. Новокуйбышевск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99,5%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83,1%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ООШ № 2 п.г.т.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78,3%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ООШ пос. Верхняя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Подстепновка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58,8%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пос. Ровно-Владимировка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60,0%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ООШ пос. Самарский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66,7%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ООШ 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60,0%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ООШ 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Яблоновый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Овраг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55,6%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85,7%</w:t>
            </w:r>
          </w:p>
        </w:tc>
      </w:tr>
      <w:tr w:rsidR="00500694">
        <w:trPr>
          <w:cantSplit/>
          <w:trHeight w:val="33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"ОЦ" п.г.т.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96,5%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72,1%</w:t>
            </w:r>
          </w:p>
        </w:tc>
      </w:tr>
      <w:tr w:rsidR="00500694">
        <w:trPr>
          <w:cantSplit/>
          <w:trHeight w:val="36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65,7%</w:t>
            </w:r>
          </w:p>
        </w:tc>
      </w:tr>
      <w:tr w:rsidR="00500694">
        <w:trPr>
          <w:cantSplit/>
          <w:trHeight w:val="27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"ОЦ" 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Лопатино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84,2%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"ОЦ"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Подъем-Михайловка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90,9%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№ 1 "ОЦ" п.г.т.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23,2%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76,8%</w:t>
            </w:r>
          </w:p>
        </w:tc>
      </w:tr>
      <w:tr w:rsidR="00500694">
        <w:trPr>
          <w:cantSplit/>
          <w:trHeight w:val="25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№ 1 "ОЦ" п.г.т.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81,7%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ГБОУ СОШ № 3 п.г.т.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78,5%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98,4%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90,6%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19,2%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73,1%</w:t>
            </w:r>
          </w:p>
        </w:tc>
      </w:tr>
      <w:tr w:rsidR="00500694">
        <w:trPr>
          <w:cantSplit/>
          <w:trHeight w:val="31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пос. Просвет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52,4%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76,2%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71,4%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с. Рождествено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89,7%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ГБОУ СОШ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Сухая Вязовка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73,3%</w:t>
            </w:r>
          </w:p>
        </w:tc>
      </w:tr>
      <w:tr w:rsidR="00500694">
        <w:trPr>
          <w:cantSplit/>
          <w:trHeight w:val="28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ГБОУ СОШ с. Черноречье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87,1%</w:t>
            </w:r>
          </w:p>
        </w:tc>
      </w:tr>
      <w:tr w:rsidR="00500694">
        <w:trPr>
          <w:cantSplit/>
          <w:trHeight w:val="360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 по м.р. Волжский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79,2%</w:t>
            </w:r>
          </w:p>
        </w:tc>
      </w:tr>
      <w:tr w:rsidR="00500694">
        <w:trPr>
          <w:cantSplit/>
          <w:trHeight w:val="405"/>
          <w:tblHeader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 Поволжское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99,2%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00694" w:rsidRDefault="004C4C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80,9%</w:t>
            </w:r>
          </w:p>
        </w:tc>
      </w:tr>
    </w:tbl>
    <w:p w:rsidR="00500694" w:rsidRDefault="005006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94" w:rsidRDefault="004C4CF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Диаграмма распределения первичных баллов участников ОГЭ по предмету в 2023 г. (количество участников, получивших тот или иной балл)</w:t>
      </w:r>
    </w:p>
    <w:p w:rsidR="00500694" w:rsidRDefault="00500694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694" w:rsidRDefault="004C4CFF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результатов ОГЭ по предмету</w:t>
      </w:r>
    </w:p>
    <w:tbl>
      <w:tblPr>
        <w:tblStyle w:val="afe"/>
        <w:tblW w:w="10175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14"/>
        <w:gridCol w:w="1914"/>
        <w:gridCol w:w="1914"/>
        <w:gridCol w:w="1915"/>
      </w:tblGrid>
      <w:tr w:rsidR="00500694">
        <w:trPr>
          <w:cantSplit/>
          <w:tblHeader/>
        </w:trPr>
        <w:tc>
          <w:tcPr>
            <w:tcW w:w="2518" w:type="dxa"/>
            <w:vMerge w:val="restart"/>
          </w:tcPr>
          <w:p w:rsidR="00500694" w:rsidRDefault="0050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829" w:type="dxa"/>
            <w:gridSpan w:val="2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500694">
        <w:trPr>
          <w:cantSplit/>
          <w:tblHeader/>
        </w:trPr>
        <w:tc>
          <w:tcPr>
            <w:tcW w:w="2518" w:type="dxa"/>
            <w:vMerge/>
          </w:tcPr>
          <w:p w:rsidR="00500694" w:rsidRDefault="0050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00694">
        <w:trPr>
          <w:cantSplit/>
          <w:tblHeader/>
        </w:trPr>
        <w:tc>
          <w:tcPr>
            <w:tcW w:w="2518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«2»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</w:p>
        </w:tc>
      </w:tr>
      <w:tr w:rsidR="00500694">
        <w:trPr>
          <w:cantSplit/>
          <w:tblHeader/>
        </w:trPr>
        <w:tc>
          <w:tcPr>
            <w:tcW w:w="2518" w:type="dxa"/>
          </w:tcPr>
          <w:p w:rsidR="00500694" w:rsidRDefault="004C4C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«3»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18,3</w:t>
            </w:r>
          </w:p>
        </w:tc>
      </w:tr>
      <w:tr w:rsidR="00500694">
        <w:trPr>
          <w:cantSplit/>
          <w:tblHeader/>
        </w:trPr>
        <w:tc>
          <w:tcPr>
            <w:tcW w:w="2518" w:type="dxa"/>
          </w:tcPr>
          <w:p w:rsidR="00500694" w:rsidRDefault="004C4C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«4»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47,2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44,9</w:t>
            </w:r>
          </w:p>
        </w:tc>
      </w:tr>
      <w:tr w:rsidR="00500694">
        <w:trPr>
          <w:cantSplit/>
          <w:tblHeader/>
        </w:trPr>
        <w:tc>
          <w:tcPr>
            <w:tcW w:w="2518" w:type="dxa"/>
          </w:tcPr>
          <w:p w:rsidR="00500694" w:rsidRDefault="004C4C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«5»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28,9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00694" w:rsidRDefault="00500694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Выделение перечня ОО, продемонстрировавших наиболее высокие результаты ОГЭ по предмету: выбирается от 5 до 15% от общего числа ОО в округе, в которых </w:t>
      </w:r>
      <w:proofErr w:type="gramEnd"/>
    </w:p>
    <w:p w:rsidR="00500694" w:rsidRDefault="004C4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участников ОГЭ,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получивших отметки «4» и «5»,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максимальные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сравнению с другими ОО округа); </w:t>
      </w:r>
    </w:p>
    <w:p w:rsidR="00500694" w:rsidRDefault="004C4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участников ОГЭ,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получивших неудовлетворительную отметку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минимальные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сравнению с другими ОО округа). </w:t>
      </w:r>
    </w:p>
    <w:tbl>
      <w:tblPr>
        <w:tblStyle w:val="aff"/>
        <w:tblW w:w="957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1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участников, получивших отметку «2» </w:t>
            </w:r>
          </w:p>
        </w:tc>
        <w:tc>
          <w:tcPr>
            <w:tcW w:w="191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участников, получивших отметки «4» и «5»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(качество обучения) </w:t>
            </w:r>
          </w:p>
        </w:tc>
        <w:tc>
          <w:tcPr>
            <w:tcW w:w="191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участников, получивших отметки 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«3», «4» и «5»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(уровень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№ 12 пос. Шмидта г.о. Новокуйбышевск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№1 г. Новокуйбышевска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8 «ОЦ» г. Новокуйбышевска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№ 19 г. Новокуйбышевска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№ 4 г. Новокуйбышевска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694" w:rsidRDefault="004C4CFF">
            <w:pPr>
              <w:tabs>
                <w:tab w:val="center" w:pos="849"/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Подъем-Михайловка</w:t>
            </w:r>
          </w:p>
          <w:p w:rsidR="00500694" w:rsidRDefault="005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0694" w:rsidRDefault="005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Выделение перечня ОО, продемонстрировавших низкие результаты ОГЭ по предмету: выбирается от 5 до 15% от общего числа ОО в округе, в которых: </w:t>
      </w:r>
      <w:proofErr w:type="gramEnd"/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доля участников ОГЭ,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получивших отметку «2»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максимальные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сравнению с другими ОО округа);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доля участников ОГЭ,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получивших отметки «4» и «5»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минимальные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сравнению с другими ОО округа). </w:t>
      </w:r>
    </w:p>
    <w:tbl>
      <w:tblPr>
        <w:tblStyle w:val="aff0"/>
        <w:tblW w:w="957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1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участников, получивших отметку «2» </w:t>
            </w:r>
          </w:p>
        </w:tc>
        <w:tc>
          <w:tcPr>
            <w:tcW w:w="191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участников, получивших отметки «4» и «5»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(качество обучения) </w:t>
            </w:r>
          </w:p>
        </w:tc>
        <w:tc>
          <w:tcPr>
            <w:tcW w:w="191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участников, получивших отметки 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«3», «4» и «5»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(уровень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пос. Просвет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№ 20 г. Новокуйбышевска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500694">
        <w:trPr>
          <w:cantSplit/>
          <w:tblHeader/>
        </w:trPr>
        <w:tc>
          <w:tcPr>
            <w:tcW w:w="67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пос.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14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915" w:type="dxa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500694" w:rsidRDefault="00500694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694" w:rsidRDefault="004C4CFF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о характере результатов ОГЭ по предмету в 2023 году и в динамике.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выполнения экзаменационной работы по русскому языку дают возможность выявить тот круг умений и навыков, отработка которых требует большего внимания в процессе обучения в основной школе.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экзаменационных отметок по пятибалльной шкале показывает,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экзамена по предмету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99,2%. Отметки «4» и «5» получили 80,9% проэкзаменованных выпускников основной школы. Преобладающей отметкой, полученной учащимися на экзамене, является отметка «4» (44,9%); 36% выпускников получили на экзамене отметку «5».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знаний выпускников общеобразовательных учреждений Поволжского образовательного округа составляет 80,9%, что выше показателей 2022 года на 4,8%.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балл по пятибалльной шкале составляет 4,2 балла. </w:t>
      </w:r>
    </w:p>
    <w:p w:rsidR="00500694" w:rsidRDefault="004C4C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тестовый балл (максимальное количество баллов - 33) равен 26,7.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Поволжском образовательном округе по сравнению с 2022 годом процент «двоек» уменьшился на 0,1%, процент «троек» уменьшился на 4,7%, уменьшился процент «четверок» на 2,3%, значительно увеличился процент «пятерок» - на 7,1%. </w:t>
      </w:r>
    </w:p>
    <w:p w:rsidR="00500694" w:rsidRDefault="004C4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при проведении анализа результатов ОГЭ по русскому языку были выделены результаты 34 выпускников: </w:t>
      </w:r>
    </w:p>
    <w:p w:rsidR="00500694" w:rsidRDefault="004C4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набравшие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минимальное количество баллов по предмету (16 чел, что составляет 0,8%), </w:t>
      </w:r>
    </w:p>
    <w:p w:rsidR="00500694" w:rsidRDefault="004C4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преодолевшие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минимальную границу с запасом в 1-2 балла (18 чел – 0,9%).</w:t>
      </w:r>
    </w:p>
    <w:p w:rsidR="00500694" w:rsidRDefault="004C4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означает, что количество участников с низким уровнем подготовки по предмету значительно больше, чем просто количество не преодолевших минимальную границу. </w:t>
      </w:r>
    </w:p>
    <w:p w:rsidR="00500694" w:rsidRDefault="004C4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экзамена с высоким уровнем подготовки по русскому языку в Поволжском округе составляет 36%, однако 14,2% (272 чел.) участников, получившие не менее 6 первичных баллов за грамотность, не смогли набрать 1-2 балла для преодоления границы отметки «5».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потенциально доля  участников, показывающих высокие результаты, в регионе может быть выше. Это следует учесть при организации работы с данной категорией участников следующего года.</w:t>
      </w:r>
    </w:p>
    <w:p w:rsidR="00500694" w:rsidRDefault="004C4C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ОО Поволжского образовательного округа, продемонстрировавших наиболее высокие результаты ОГЭ по предмету отмечаются в ГБОУ ООШ № 12 пос. Шмидта г.о. Новокуйбышевск, ГБОУ гимназия №1 г. Новокуйбышевска, ГБОУ СОШ № 8 «ОЦ» г. Новокуйбышевска, ГБОУ ООШ № 19 г. Новокуйбышевска, ГБОУ ООШ № 4 г. Новокуйбышевска, ГБОУ СОШ "ОЦ"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Подъем-Михайловка.</w:t>
      </w:r>
    </w:p>
    <w:p w:rsidR="00500694" w:rsidRDefault="004C4C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число ОО, продемонстрировавшие наиболее низкие результаты ОГЭ по русскому языку, вошли: ГБОУ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СОШ пос. Просвет</w:t>
      </w:r>
    </w:p>
    <w:p w:rsidR="00500694" w:rsidRDefault="004C4C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ООШ № 20 г. Новокуйбышевска, ГБОУ ООШ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694" w:rsidRDefault="004C4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Анализ результатов выполнения отдельных заданий или групп заданий по предмету</w:t>
      </w:r>
      <w:r>
        <w:rPr>
          <w:b/>
          <w:sz w:val="32"/>
          <w:szCs w:val="32"/>
        </w:rPr>
        <w:t xml:space="preserve"> </w:t>
      </w: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работы.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 работа состоит из трёх частей, включающих в себя 9 заданий, различающихся формой и уровнем сложности.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экзаменационной работы по русскому языку отводится 3 часа 55 минут (235 минут).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 включает в себя 1 задание и представляет собой письменную работу по прослушанному тексту (сжатое изложение). Исходный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 сжатого изложения прослушивается 2 раза.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2 состоит из 7 заданий (2–8). В экзаменационной работе предложены следующие разновидности заданий с кратким ответом:</w:t>
      </w:r>
    </w:p>
    <w:p w:rsidR="00500694" w:rsidRDefault="004C4C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задания на запись самостоятельно сформулированного краткого ответа;</w:t>
      </w:r>
    </w:p>
    <w:p w:rsidR="00500694" w:rsidRDefault="004C4C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задания на выбор и запись номеров правильных ответов из предложенного перечня.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2 работы дано семь заданий: четыре задания (задания 2–5) проверяют умение выполнять орфографический, пунктуационный, грамматический анализ. На материале текста выполняются три задания (6–8) второй части работы. Они проверяют глубину и точность понимания содержания текста, позволяют выявить уровень постижения 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культурно-ценностных категорий текста: понимание проблемы, позиции автора или героя; понимание отношений синонимии и антонимии, важных для содержательного анализа текста; анализ изученных средств выразительности речи.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Задание части 3 выполняется на основе того же текста, который обучающиеся читали, работая над заданиями части 2. Приступая к части 3 работы, обучающиеся должны выбрать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 </w:t>
      </w:r>
      <w:r>
        <w:rPr>
          <w:rFonts w:ascii="Times New Roman" w:eastAsia="Times New Roman" w:hAnsi="Times New Roman" w:cs="Times New Roman"/>
          <w:sz w:val="28"/>
          <w:szCs w:val="28"/>
        </w:rPr>
        <w:t>из трёх предложенных заданий (9.1, 9.2 или 9.3) и дать письменный развёрнутый аргументированный ответ.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заданий по частям экзаменационной работы представлено в таблице.</w:t>
      </w:r>
    </w:p>
    <w:tbl>
      <w:tblPr>
        <w:tblStyle w:val="aff1"/>
        <w:tblW w:w="918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559"/>
        <w:gridCol w:w="3402"/>
        <w:gridCol w:w="2694"/>
      </w:tblGrid>
      <w:tr w:rsidR="00500694">
        <w:trPr>
          <w:cantSplit/>
          <w:trHeight w:val="410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работы</w:t>
            </w:r>
          </w:p>
        </w:tc>
        <w:tc>
          <w:tcPr>
            <w:tcW w:w="1559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32" w:hanging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2" w:right="151" w:hanging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9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заданий</w:t>
            </w:r>
          </w:p>
        </w:tc>
      </w:tr>
      <w:tr w:rsidR="00500694">
        <w:trPr>
          <w:cantSplit/>
          <w:trHeight w:val="410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559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1)</w:t>
            </w: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развёрнутым ответом</w:t>
            </w:r>
          </w:p>
        </w:tc>
      </w:tr>
      <w:tr w:rsidR="00500694">
        <w:trPr>
          <w:cantSplit/>
          <w:trHeight w:val="650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559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(задания 2–8)</w:t>
            </w: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кратким ответом</w:t>
            </w:r>
          </w:p>
        </w:tc>
      </w:tr>
      <w:tr w:rsidR="00500694">
        <w:trPr>
          <w:cantSplit/>
          <w:trHeight w:val="410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1559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9)</w:t>
            </w: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развёрнутым ответом</w:t>
            </w:r>
          </w:p>
        </w:tc>
      </w:tr>
      <w:tr w:rsidR="00500694">
        <w:trPr>
          <w:cantSplit/>
          <w:trHeight w:val="596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1 и 3</w:t>
            </w:r>
          </w:p>
        </w:tc>
        <w:tc>
          <w:tcPr>
            <w:tcW w:w="1559" w:type="dxa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 за практическую грамотность и фактическую</w:t>
            </w:r>
          </w:p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4" w:right="5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речи</w:t>
            </w:r>
          </w:p>
        </w:tc>
        <w:tc>
          <w:tcPr>
            <w:tcW w:w="2694" w:type="dxa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94">
        <w:trPr>
          <w:cantSplit/>
          <w:trHeight w:val="224"/>
          <w:tblHeader/>
        </w:trPr>
        <w:tc>
          <w:tcPr>
            <w:tcW w:w="1527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694" w:rsidRDefault="00500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94" w:rsidRDefault="004C4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Статистический анализ выполняемости заданий и групп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КИМ ОГЭ в 2022 году</w:t>
      </w:r>
    </w:p>
    <w:tbl>
      <w:tblPr>
        <w:tblStyle w:val="aff2"/>
        <w:tblW w:w="980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731"/>
        <w:gridCol w:w="567"/>
        <w:gridCol w:w="709"/>
        <w:gridCol w:w="3260"/>
        <w:gridCol w:w="1134"/>
        <w:gridCol w:w="850"/>
        <w:gridCol w:w="850"/>
        <w:gridCol w:w="850"/>
        <w:gridCol w:w="850"/>
      </w:tblGrid>
      <w:tr w:rsidR="00500694">
        <w:trPr>
          <w:cantSplit/>
          <w:trHeight w:val="1020"/>
          <w:tblHeader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Уровень сложности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КЭС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Процент выполнения задания, %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94" w:rsidRDefault="004C4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Процент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 по округу в группах, получивших отметку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00694">
        <w:trPr>
          <w:cantSplit/>
          <w:trHeight w:val="198"/>
          <w:tblHeader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0694" w:rsidRDefault="0050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«5»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98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Задания с кратким ответом</w:t>
            </w:r>
          </w:p>
        </w:tc>
      </w:tr>
      <w:tr w:rsidR="00500694">
        <w:trPr>
          <w:cantSplit/>
          <w:trHeight w:val="825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5.1-5.14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</w:tr>
      <w:tr w:rsidR="00500694">
        <w:trPr>
          <w:cantSplit/>
          <w:trHeight w:val="1275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7.1-7.19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</w:tr>
      <w:tr w:rsidR="00500694">
        <w:trPr>
          <w:cantSplit/>
          <w:trHeight w:val="60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5.14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500694">
        <w:trPr>
          <w:cantSplit/>
          <w:trHeight w:val="30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6.1-6.17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500694">
        <w:trPr>
          <w:cantSplit/>
          <w:trHeight w:val="30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</w:tr>
      <w:tr w:rsidR="00500694">
        <w:trPr>
          <w:cantSplit/>
          <w:trHeight w:val="45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коммуникативно-эстетических возможностей русского и родного языков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</w:tr>
      <w:tr w:rsidR="00500694">
        <w:trPr>
          <w:cantSplit/>
          <w:trHeight w:val="30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2.1-2.5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98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Задания с развернутым ответом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ИК-1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ИК-2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Сжатие исходного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ИК-3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С-К1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обоснованного ответа. Понимание смысла фрагмента текста. Толкование значения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С-К2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примеров-аргументов. Наличие примеров-иллюстраций.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С-К3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Смысловая цельность, речевая связность и последовательность сочинения.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500694">
        <w:trPr>
          <w:cantSplit/>
          <w:trHeight w:val="567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С-К4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Композиционная стройность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500694">
        <w:trPr>
          <w:cantSplit/>
          <w:trHeight w:val="300"/>
          <w:tblHeader/>
        </w:trPr>
        <w:tc>
          <w:tcPr>
            <w:tcW w:w="9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грамотность и фактическая точность речи (изложение, сочинение)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орфографических норм.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пунктуационных норм.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ГК3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грамматических норм.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речевых норм.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</w:tr>
      <w:tr w:rsidR="00500694">
        <w:trPr>
          <w:cantSplit/>
          <w:trHeight w:val="340"/>
          <w:tblHeader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Фактическая точность письменной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94" w:rsidRDefault="004C4C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</w:tbl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Первая часть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написание сжатого изложения прослушанного в аудиозаписи текста – проверяет следующие умения: </w:t>
      </w:r>
    </w:p>
    <w:p w:rsidR="00500694" w:rsidRDefault="004C4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слушать, то есть адекватно воспринимать информацию, содержащуюся в прослушанном тексте; </w:t>
      </w:r>
    </w:p>
    <w:p w:rsidR="00500694" w:rsidRDefault="004C4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обрабатывать воспринятую информацию, выделяя в ней главное; </w:t>
      </w:r>
    </w:p>
    <w:p w:rsidR="00500694" w:rsidRDefault="004C4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письменно передавать обработанную информацию.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Трудность при написании сжатого изложения составляет умение не столько передать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применить приемы сжатия, сколько правильно выстраивать получившийся в результате сжатия текст, сохранив его целостность и последовательность изложения.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ГБОУ ООШ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п.г.т.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с. Дубовый Умет, ГБОУ СОШ п.г.т. Петра Дубрава,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пос. Просвет, ГБОУ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Вязовка,  ГБОУ ООШ № 11 г. Новокуйбышевска, ГБОУ ООШ № 15 г. Новокуйбышевска, ГБОУ ООШ № 20 г. Новокуйбышевска,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ООШ № 6 г. Новокуйбышевска обучающиеся по всем критериям написания сжатого изложения справились ниже окружного показателя.  Для успешного выполнения первой части экзаменационной работы недостаточно усилить внимание к тексту только в 9 классе. Администрации данных школ необходимо обратить внимание всех педагогов на 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слов. Формирование представлений о способах связи предложений в тексте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 во-вторых, в ходе репродуктивной деятельности под влиянием имеющихся знаний осуществлялись осмысление и преобразование речевого опыта ребёнка. Заметим, что, какой бы программой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речи. Нельзя забывать и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многие из этих умений формируются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других предметов (литературы, иностранного языка, истории, биологии, географии и пр.). Таким образом, чтобы подготовить детей к первой части экзамена, учителю, прежде всего, 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текста.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логического мышления и речевой связности нужно использовать в работе интерактивные методы и дидактические приёмы обучения, например, такие как «мозговой штурм», «незаконченное предложение» и др.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Вторая часть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тестовые задания с кратким ответом. Тестовые задания с кратким ответом проверяли комплекс умений, характеризующих уровень языковой компетенции выпускников, то есть уровень практического владения русским языком, его словарём и грамматическим строем, соблюдение учащимися языковых норм; а также уровень лингвистической компетенции, то есть умение проводить элементарный лингвистический анализ языковых явлений.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результаты выполнения тестовой части проверки экзаменационной работы, можно утверждать, что среди четырех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заданий, проверяющих умение выполнять орфографический, пунктуационный, грамматический анализ,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 успешно справились лишь с заданием № 4 (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Синтаксис. Синтаксический анализ словосочетания»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90%, с заданиями № 6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Речь. Текст как речевое произведение. Смысловая и композиционная целостность текста.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Анализ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70%,  № 8 (</w:t>
      </w:r>
      <w:r>
        <w:rPr>
          <w:rFonts w:ascii="Times New Roman" w:eastAsia="Times New Roman" w:hAnsi="Times New Roman" w:cs="Times New Roman"/>
          <w:sz w:val="28"/>
          <w:szCs w:val="28"/>
        </w:rPr>
        <w:t>Лексика и фразеология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78%.  </w:t>
      </w:r>
      <w:r>
        <w:rPr>
          <w:rFonts w:ascii="Times New Roman" w:eastAsia="Times New Roman" w:hAnsi="Times New Roman" w:cs="Times New Roman"/>
          <w:sz w:val="28"/>
          <w:szCs w:val="28"/>
        </w:rPr>
        <w:t>Однако в группе обучающихся, получивших оценку «2», выявлен низкий процент выполнения этих заданий.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заданием № 8 справились лишь 19% учеников; с заданием №6 –31%.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Самый низкий процент выполнения (в сравнении с окружным значением)</w:t>
      </w:r>
    </w:p>
    <w:p w:rsidR="00500694" w:rsidRDefault="004C4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3 (пунктуационный анализ) был продемонстрирован в следующих образовательных учреждениях</w:t>
      </w:r>
    </w:p>
    <w:tbl>
      <w:tblPr>
        <w:tblStyle w:val="af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ГБОУ ООШ пос. Ровно-Владимировка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Лопатино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ООШ № 12 пос. Шмидта 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ГБОУ ООШ № 11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Яблоновый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Овраг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ГБОУ ООШ № 20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ГБОУ ООШ № 13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Сухая Вязовка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Черновский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</w:tbl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0694" w:rsidRDefault="004C4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5 (орфографический анализ) был продемонстрирован в следующих образовательных учреждениях</w:t>
      </w:r>
    </w:p>
    <w:tbl>
      <w:tblPr>
        <w:tblStyle w:val="af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пос. Самарский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13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"ОЦ"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11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20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21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 3 п.г.т.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15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"ОЦ"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Подъем-Михайловка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4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ГБОУ ООШ пос. Ровно-Владимировка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Курумоч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4076" w:type="dxa"/>
          </w:tcPr>
          <w:p w:rsidR="00500694" w:rsidRDefault="004C4CF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"ОЦ" с. Дубовый Умет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</w:tbl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0694" w:rsidRDefault="004C4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2 (синтаксический анализ текста, определение грамматической основы) был продемонстрирован в следующих образовательных учреждениях</w:t>
      </w:r>
    </w:p>
    <w:tbl>
      <w:tblPr>
        <w:tblStyle w:val="a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12 пос. Шмидта г.о. Новокуйбышевск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11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20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"ОЦ" с. Дубовый Умет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"ОЦ"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17 г. Новокуйбышевск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пос. Просвет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Особенно низкий процент выполнения наблюдается у групп обучающихся, получивших оценки «2», «3» и «4». Так с заданием № 2 группа обучающихся, получивших неудовлетворительную отметку – не справилась; группа обучающихся, получивших отметку «3» справились 19%; группа обучающихся, получивших отметку «4» - 27%. А задание №5 было выполнено группами обучающихся, получивших неудовлетворительную отметку – 25%; получивших отметку «3» - 14%; получивших отметку «4» - 18%.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№№ 6-8 второй части работы проверяют глубину и точность понимания содержания текста, позволяют выявить уровень постижения школьниками культурно-ценностных категорий текста: понимание проблемы, позиции автора или героя; понимание отношений синонимии и антонимии, важных для содержательного анализа текста; анализ изученных средств выразительности речи.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низкий процент выполнения</w:t>
      </w:r>
    </w:p>
    <w:p w:rsidR="00500694" w:rsidRDefault="004C4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7 (анализ средств выразительности) был продемонстрирован в следующих образовательных учреждениях</w:t>
      </w:r>
    </w:p>
    <w:tbl>
      <w:tblPr>
        <w:tblStyle w:val="a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11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500694">
        <w:trPr>
          <w:cantSplit/>
          <w:tblHeader/>
        </w:trPr>
        <w:tc>
          <w:tcPr>
            <w:tcW w:w="5495" w:type="dxa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"ОЦ"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пос.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пос. Просвет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№ 2 п.г.т.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500694">
        <w:trPr>
          <w:cantSplit/>
          <w:tblHeader/>
        </w:trPr>
        <w:tc>
          <w:tcPr>
            <w:tcW w:w="5495" w:type="dxa"/>
            <w:vAlign w:val="bottom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13 г. Новокуйбышевска</w:t>
            </w:r>
          </w:p>
        </w:tc>
        <w:tc>
          <w:tcPr>
            <w:tcW w:w="4076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00694" w:rsidRDefault="004C4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8 (лексический анализ) был продемонстрирован в следующих образовательных учреждениях</w:t>
      </w:r>
    </w:p>
    <w:tbl>
      <w:tblPr>
        <w:tblStyle w:val="a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3793"/>
      </w:tblGrid>
      <w:tr w:rsidR="00500694">
        <w:trPr>
          <w:cantSplit/>
          <w:tblHeader/>
        </w:trPr>
        <w:tc>
          <w:tcPr>
            <w:tcW w:w="5778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793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500694">
        <w:trPr>
          <w:cantSplit/>
          <w:tblHeader/>
        </w:trPr>
        <w:tc>
          <w:tcPr>
            <w:tcW w:w="5778" w:type="dxa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12 пос. Шмидта г.о. Новокуйбышевск</w:t>
            </w:r>
          </w:p>
        </w:tc>
        <w:tc>
          <w:tcPr>
            <w:tcW w:w="3793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694">
        <w:trPr>
          <w:cantSplit/>
          <w:tblHeader/>
        </w:trPr>
        <w:tc>
          <w:tcPr>
            <w:tcW w:w="5778" w:type="dxa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20 г. Новокуйбышевска</w:t>
            </w:r>
          </w:p>
        </w:tc>
        <w:tc>
          <w:tcPr>
            <w:tcW w:w="3793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500694">
        <w:trPr>
          <w:cantSplit/>
          <w:tblHeader/>
        </w:trPr>
        <w:tc>
          <w:tcPr>
            <w:tcW w:w="5778" w:type="dxa"/>
          </w:tcPr>
          <w:p w:rsidR="00500694" w:rsidRDefault="004C4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11 г. Новокуйбышевска</w:t>
            </w:r>
          </w:p>
        </w:tc>
        <w:tc>
          <w:tcPr>
            <w:tcW w:w="3793" w:type="dxa"/>
          </w:tcPr>
          <w:p w:rsidR="00500694" w:rsidRDefault="004C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</w:tbl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ГБОУ ООШ пос.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ООШ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ООШ № 11 г. Новокуйбышевска, ГБОУ ООШ № 20 г. Новокуйбышевска более 50%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заданий тестовой части были выполнены на крайне низком уровне. Администрации ОО усилить контроль над внедрением учителями русского языка и литературы в учебный процесс практико-ориентированных подходов и приёмов обучения.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прежде сложными для выполнения остаются задания разделов «Грамматика. Синтаксис», «Орфография».  Поэтому необходимо совершенствовать работу на уроке и индивидуальных консультациях по развитию умений проводить различные виды анализа языковых единиц, уделять особое внимание морфемному, словообразовательному, орфографическому разбору слова и синтаксическому разбору предложения, активно внедрять в практику тренинги по решению данных задач, чередовать разные формы работы по достижению предметных и метапредметных результатов.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Третья часть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творческое задание.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Сочинение проверяло умение создавать собственное связное высказывание на основе прочитанного текста. Это высказывание должно соответствовать функционально-смысловому типу речи «рассуждение» и, как следствие этого, строиться по определённым композиционным законам. При этом особое внимание уделялось умению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свои мысли и утверждения, используя прочитанный текст.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предлагалось выбрать один из трех вариантов для выполнения: </w:t>
      </w:r>
    </w:p>
    <w:p w:rsidR="00500694" w:rsidRDefault="004C4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сочинение-рассуждение на лингвистическую тему (9.1),</w:t>
      </w:r>
    </w:p>
    <w:p w:rsidR="00500694" w:rsidRDefault="004C4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сочинение-рассуждение на тему, связанную с анализом текста по предложенному фрагменту (9.2),</w:t>
      </w:r>
    </w:p>
    <w:p w:rsidR="00500694" w:rsidRDefault="004C4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сочинение-рассуждение, связанное с толкованием значения слова (9.3).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три варианта сочинений оценивались по одним и тем же критериям.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Сравнивая результаты выполнения задания 9 по отдельным критериям, необходимо отметить, что высокие проценты выполнения выпускники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показали по критериям 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95%, СК2 – 95%, СК3 – 93% и СК4 – 96%. Это говорит о том, что большинство участников умеет рассуждать на теоретическом уровне, давать обоснованные ответы, правильно понимают тезисы, дают верное объяснение содержанию фрагмента, умеют давать определения и комментировать их. Участники проявляют свои умения адекватно понимать информацию, владеют разными видами чтения (изучающим, ознакомительным, просмотровым), извлекают нужную информацию, создают тексты различных стилей и жанров, осуществляют выбор и организацию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оответствии с темой, свободно излагают свои мысли, соблюдая нормы построения текста (логично, последовательно, связно). </w:t>
      </w:r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у группы обучающихся, получивших неудовлетворительную оценку, в критериях 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СК2, СК3 и СК4 возникали трудности, и процент выполнения недостаточно высокий, соответственно – 44%, 44%,31% и 31%. Это свидетельствует о том, что у выпускников недостаточно сформировано умение логично строить своё высказывание, последовательно излагать мысли, соблюдать речевые и грамматические нормы. Также обучающиеся данной группы затрудняются при написании сочинения делить текст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отдельно выделять тезис, доказательства и вывод, что приводит к нарушению композиции сочинения. Анализ работ выпускников показал, что при подготовке к написанию сочинения необходимо учить пользоваться алгоритмом создания текстов типа рассуждения, также на уроках больше уделять времени работе по нахождению и исправлению логических, речевых и грамматических ошибок в пробных сочинениях по типу ОГЭ.</w:t>
      </w: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уровне гораздо ниже окружных показателей с данным видом задания справились обучающиеся следующих образовательных учреждений: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ООШ пос.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ООШ пос. Ровно-Владимировка, ГБОУ ООШ пос. Самарский, ГБОУ ООШ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 11 г. Новокуйбышевска, ГБОУ ООШ № 12 пос. Шмидта г.о. Новокуйбышевск, ГБОУ ООШ № 20 г. Новокуйбышевска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0694" w:rsidRDefault="004C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Практическая грамотность и фактическая точность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письменной речи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экзаменуемых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оценивались на основании проверки изложения и сочинения в целом.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выполнения заданий по критериям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ФК1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самыми проблематичными для обучающихся остаются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орфографической грамотности обучающихся 9-х классов низкий. 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перед обучающимися лежали орфографические словари, девятиклассники допустили грубые и негрубые орфографические ошибки. К типичным ошибкам можно отнести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правописание проверяемой безударной гласной;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правописание гласных в суффиксах;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 частями речи;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 и НН в различных частях речи;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правописание предлогов со словами.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экзамена показывают, что учащиеся, выполняя задания самостоятельно (изложение, сочинение), не всегда могут применить свои знания орфографических и пунктуационных правил на практике, не могут находить и исправлять свои ошибки,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невладеют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работы со словарем.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орфографических норм участниками экзамена проверялось в задании №5, критерием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 выполнении задания №5 обучающие должны были показать знание теории, а критерий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выявляет умение применять правила на практике. При написании сочинения и изложения с критерием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справились 72% выпускников. Это свидетельствует о том, что большая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часть выпускников обладает умением применять правила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практике. Однако в группе обучающихся, получивших оценку «2» и «3»  выявлен низкий процент выполнения этого задания. Так в критерии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 составляет у группы обучающихся, получивших неудовлетворительную отметку – 13%; у группы обучающихся, получивших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отметку «3» - 29%.  Обучающиеся, получившие «5», хорошо справились с этим заданием – 95%.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пунктуационной грамотности учащихся 9-х классов тоже низкий. К типичным ошибкам можно отнести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знаков препинания в сложноподчинённых предложениях;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знаков препинания при вводных конструкциях;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лишних знаков препинания;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знаков препинания при причастных и деепричастных оборотах;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знаков препинания при однородных членах предложения;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знаков препинания при цитировании.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пунктуационных норм участниками экзамена проверялось в заданиях №3, критерием ГК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участников, продемонстрировавшая свое умение соблюдать правила пунктуации в практике письменной речи, выше доли тех учащихся, которые умеют обнаруживать и анализировать пунктуационные явления в предлагаемом материале (разница между заданиями № 3 и ГК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8%). Наиболее низкий процент выполнения в критерии ГК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 у группы обучающихся, получивших неудовлетворительную отметку и отметку «3» – 6% и 9% соответственно; у группы обучающихся, получивших отметку «4» - 35%. Высокий процент выполнения (83%) выявлен у группы обучающихся, получивших оценку «5».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выполнения критериев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ГК2 позволяет сделать вывод: необходимо на уроках уделять внимание упражнениям по отработке навыков письменной речи, использовать методы обучения, способствующие формированию орфографической зоркости, пунктуационных умений; разнообразить подходы в формировании базовых логических действий на уроках русского языка и литературы.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 ГК3 оценивалось умение оформлять речь в соответствии с грамматическими нормами литературного языка. Процент правильного выполнения по данному критерию – 83%. </w:t>
      </w:r>
    </w:p>
    <w:p w:rsidR="00500694" w:rsidRDefault="004C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речевыми нормами (критерий ГК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показано выпускниками на достаточно высоком уровне, речевых ошибок нет или допущена одна ошибка в работах 85% обучающихся.</w:t>
      </w:r>
    </w:p>
    <w:p w:rsidR="00500694" w:rsidRDefault="004C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оценки практической грамотности показывает, что уровень владения речевыми и грамматическими нормами экзаменуемых более высокий по сравнению с орфографическими и пунктуационными нормами.  </w:t>
      </w:r>
    </w:p>
    <w:p w:rsidR="00500694" w:rsidRDefault="004C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по критерию ФК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(фактическая точность письменной речи) показывают, что нет фактических ошибок в изложении материала, а также в понимании и употреблении терминов у 95 % участников экзамена.</w:t>
      </w:r>
    </w:p>
    <w:p w:rsidR="00500694" w:rsidRDefault="004C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практической грамотности и фактической точности речи был продемонстрирован обучающимися ГБОУ ООШ пос.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Овраг, ГБОУ СОШ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"ОЦ" с. Дубовый Умет, ГБОУ СОШ № 1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СОШ пос. Просвет,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ООШ № 11 г. Новокуйбышевска, ГБОУ ООШ № 13 г. Новокуйбышевска, ГБОУ ООШ № 15 г. Новокуйбышевска, ГБОУ ООШ № 17 г. Новокуйбышевск, ГБОУ ООШ № 20 г. Новокуйбышевска, ГБОУ ООШ № 6 г. Новокуйбышевска, ГБОУ ООШ № 9 г. Новокуйбышевска.</w:t>
      </w:r>
      <w:proofErr w:type="gramEnd"/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102 человека (5,3%) из школ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СОШ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пос. Просвет, ГБОУ СОШ с. Сухая Вязовка, ГБОУ ООШ пос. Самарский,  ГБОУ СОШ "ОЦ" с. Дубовый Умет, 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1 "ОЦ"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3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ГБОУ СОШ "ОЦ "Южный город" пос. Придорожный, ГБОУ СОШ №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ОЦ"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ООШ пос.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ООШ пос. Ровно-Владимировка, ГБОУ ООШ № 2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СОШ № 3 г. Новокуйбышевска, ГБОУ ООШ № 4 г. Новокуйбышевска, ГБОУ СОШ № 5 "ОЦ" г. Новокуйбышевска, ГБОУ СОШ № 7 "ОЦ" г. Новокуйбышевска, ГБОУ СОШ № 8 "ОЦ" г. Новокуйбышевска, ГБОУ ООШ № 11 г. Новокуйбышевска, ГБОУ гимназия №1, ГБОУ ООШ №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Новокуйбышевска, ГБОУ ООШ № 9 г. Новокуйбышевска, ГБОУ ООШ № 13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Новокуйбышевска, ГБОУ ООШ № 15 г. Новокуйбышевска, ГБОУ ООШ № 18 г. Новокуйбышевска, ГБОУ ООШ № 20 г. Новокуйбышевска, ГБОУ ООШ № 21 г. Новокуйбышевска набрали от 23 до 26 баллов, однако набрали менее 4-ых баллов за грамотность,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снизили свой итоговой результат.  </w:t>
      </w:r>
    </w:p>
    <w:p w:rsidR="00500694" w:rsidRDefault="004C4CFF">
      <w:pPr>
        <w:spacing w:before="280" w:after="28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метапредметных результатов обучения, повлиявших на выполнение заданий КИМ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2, 3,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 со средним процентом выполнения ниже 40%. Эти задания предполагают проведение синтаксического, пунктуационного и орфографического анализа соответственно. Выпускник должен проанализировать данные слова и предложения и выбрать (из указанных) их верные характеристики (2 и 5 задание) и места постановки знаков препинания (3 задание). Кроме конкретных предметных знаний, обучающийся в данных заданиях должен продемонстрировать также умение понимать взаимосвязи между языковыми явлениями, категориями, уровнями языка.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 точки зрения метапредметных результатов низкий уровень выполнения заданий 2, 3, 5 показывает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выпускников таких результатов, как умение определять лингвистические понятия, устанавливать причинно-следственные связи между языковыми категориями, строить логическое рассуждение, умозаключение и делать выводы.</w:t>
      </w:r>
    </w:p>
    <w:p w:rsidR="00500694" w:rsidRDefault="004C4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об итогах анализа выполнения заданий, групп заданий: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округа в целом можно считать достаточным.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Выпускники, успешно справившиеся с заданием первой части (изложением), обладают умением воспринимать информацию устного содержания, воспроизводить текст с заданной степенью свернутости. </w:t>
      </w:r>
    </w:p>
    <w:p w:rsidR="00500694" w:rsidRDefault="004C4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второй части по синтаксическому анализу словосочетания, анализу текста составило больше 78 %, следовательно, обучающиеся овладели на высоком уровне умением выполнять задания,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включающие в себя знания из тем курса русского языка “Грамматика. Синтаксис. Словосочетание”, “Текст как речевое произведение. Смысловая и композиционная целостность текста. Анализ текста”.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учащихся, выполнивших все критерии задания 9 (сочинения-рассуждения), в этом году выше 90%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2022г. - 68%). Экзаменуемые владеют умениями создавать тексты различных стилей и жанров, осуществлять выбор и организацию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оответствии с темой, выстраивать работу, сохраняя смысловую цельность, речевую связность и последовательность сочинения.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округа в целом, школьниками с разным уровнем подготовки нельзя считать достаточным.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экзамена по русскому языку обладают недостаточным умением обнаруживать и анализировать орфографические и пунктуационные явления в предъявляемом материале, испытывают затруднения при использовании правил в практической самостоятельной письменной работе. Анализ результатов выполнения экзаменационной работы по русскому языку выпускниками с различными уровнями подготовки показал, что наибольшие трудности выпускники всех групп испытывают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пунктуационны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орфографически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в письменной речи. Трудными для всех выпускников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задания из части 2 работы, связанные с синтаксическим анализом сложного предложения и знанием орфографии, пункт</w:t>
      </w:r>
      <w:r>
        <w:rPr>
          <w:rFonts w:ascii="Times New Roman" w:eastAsia="Times New Roman" w:hAnsi="Times New Roman" w:cs="Times New Roman"/>
          <w:sz w:val="28"/>
          <w:szCs w:val="28"/>
        </w:rPr>
        <w:t>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0694" w:rsidRDefault="004C4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Невысокие показатели у выпускников, получивших отметку «2», свидетельствуют о том, что уровень заданий всех частей экзаменационной работы для этой группы оказывается очень сложным и вызывает большие затруднения. Выпускники, получившие на экзамене отметку «2», не подготовлены к анализу языковых средств, созданию текста в соответствии с заданной темой и функционально-смысловым типом речи.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Затруднения при выполнении задания № 1 могут быть обусловлены следующими факторами: </w:t>
      </w:r>
    </w:p>
    <w:p w:rsidR="00500694" w:rsidRDefault="004C4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недостаточной разработанностью методики 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соответственно, малым количеством времени, которое отводится на эти упражнения на уроках русского языка; </w:t>
      </w:r>
    </w:p>
    <w:p w:rsidR="00500694" w:rsidRDefault="004C4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внимание к изучению тем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Абзац», «Средства связи предложений в тексте».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следующие причины затруднений выпускников основной школы при выполнении тестовой части работы: </w:t>
      </w:r>
    </w:p>
    <w:p w:rsidR="00500694" w:rsidRDefault="004C4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ограниченность словарного запаса, мало читающих (или вовсе не читающих) девятиклассников группы, получившей </w:t>
      </w:r>
      <w:r>
        <w:rPr>
          <w:rFonts w:ascii="Times New Roman" w:eastAsia="Times New Roman" w:hAnsi="Times New Roman" w:cs="Times New Roman"/>
          <w:sz w:val="28"/>
          <w:szCs w:val="28"/>
        </w:rPr>
        <w:t>“2”, “3”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(задание № 7, 8); </w:t>
      </w:r>
    </w:p>
    <w:p w:rsidR="00500694" w:rsidRDefault="004C4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объективные трудности изучения грамматики и орфографии: усвоение опознавательных признаков частей речи и применение к ним правил орфографии (задание №5); </w:t>
      </w:r>
    </w:p>
    <w:p w:rsidR="00500694" w:rsidRDefault="004C4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недостаточный уровень сформированности рефлексивных умений.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типичным ошибкам в сочинении всех обучающихся можно отнести: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некорректное объяснение значения ключевого слова из формулировки темы сочинения вследствие незнания (непонимания) самого слова или неумения адекватно использовать приемы толкования значения;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комментария к слову, значение которого разъяснено;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примера из жизненного опыта ключевому понятию текста;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объяснения связи приведенного примера с ключевым понятием темы сочинения и/или сформулированного тезиса;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неудачное деление текста на абзацы;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неудачное использование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частей текста и предложений внутри выделенной части; </w:t>
      </w:r>
    </w:p>
    <w:p w:rsidR="00500694" w:rsidRDefault="004C4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композиции (отсутствие тезиса или вывода).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содержания заданий, вызвавших наибольшие затруднения у обучающихся, позволяет говорить о недостаточном уровне сформированности умений: </w:t>
      </w:r>
    </w:p>
    <w:p w:rsidR="00500694" w:rsidRDefault="004C4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 пополнять свой словарный запас, осознанно пользоваться средствами языка для выражения собственных мыслей и чувств; </w:t>
      </w:r>
    </w:p>
    <w:p w:rsidR="00500694" w:rsidRDefault="004C4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разграничивать части речи и связанные с ними орфографические и синтаксические явления; </w:t>
      </w:r>
    </w:p>
    <w:p w:rsidR="00500694" w:rsidRDefault="004C4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в тексте примеры речевых реализаций типовых синтаксических моделей; </w:t>
      </w:r>
    </w:p>
    <w:p w:rsidR="00500694" w:rsidRDefault="004C4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средствами синтаксической синонимии; </w:t>
      </w:r>
    </w:p>
    <w:p w:rsidR="00500694" w:rsidRDefault="004C4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орфографическими словарями для предупреждения и исправления ошибок в письменной речи. </w:t>
      </w:r>
    </w:p>
    <w:p w:rsidR="00500694" w:rsidRDefault="004C4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совершенствованию преподавания русского языка всем общеобразовательным организациям Поволжского округа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более высоких результатов ОГЭ необходимо:</w:t>
      </w:r>
    </w:p>
    <w:p w:rsidR="00500694" w:rsidRDefault="004C4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орфографических и грамматических явлений усилить внимание к смысловой стороне работы с текстом (определение темы, основной мысли, работа с ключевыми словами и т.п.); </w:t>
      </w:r>
    </w:p>
    <w:p w:rsidR="00500694" w:rsidRDefault="004C4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</w:rPr>
        <w:t>м по развитию речи, усилить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«абзац»,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предложений в тексте; </w:t>
      </w:r>
    </w:p>
    <w:p w:rsidR="00500694" w:rsidRDefault="004C4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шире использовать в программах обучения русскому языку упражнения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00694" w:rsidRDefault="004C4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повторения программного материала в процессе подготовки к экзамену более широко использовать приемы формирующего оценивания; </w:t>
      </w:r>
    </w:p>
    <w:p w:rsidR="00500694" w:rsidRDefault="004C4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использование в школах программ факультативных/элективных курсов по совершенствованию работы с текстом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0694" w:rsidRDefault="004C4CFF">
      <w:pPr>
        <w:widowControl w:val="0"/>
        <w:numPr>
          <w:ilvl w:val="0"/>
          <w:numId w:val="12"/>
        </w:numPr>
        <w:spacing w:after="0"/>
        <w:ind w:right="-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60600"/>
          <w:sz w:val="28"/>
          <w:szCs w:val="28"/>
        </w:rPr>
        <w:t xml:space="preserve">внедрить в практику изменения </w:t>
      </w:r>
      <w:r>
        <w:rPr>
          <w:rFonts w:ascii="Times New Roman" w:eastAsia="Times New Roman" w:hAnsi="Times New Roman" w:cs="Times New Roman"/>
          <w:color w:val="2E2E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60600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color w:val="050500"/>
          <w:sz w:val="28"/>
          <w:szCs w:val="28"/>
        </w:rPr>
        <w:t xml:space="preserve">контрольных </w:t>
      </w:r>
      <w:r>
        <w:rPr>
          <w:rFonts w:ascii="Times New Roman" w:eastAsia="Times New Roman" w:hAnsi="Times New Roman" w:cs="Times New Roman"/>
          <w:color w:val="020200"/>
          <w:sz w:val="28"/>
          <w:szCs w:val="28"/>
        </w:rPr>
        <w:t xml:space="preserve">процедур </w:t>
      </w:r>
      <w:r>
        <w:rPr>
          <w:rFonts w:ascii="Times New Roman" w:eastAsia="Times New Roman" w:hAnsi="Times New Roman" w:cs="Times New Roman"/>
          <w:color w:val="0606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80800"/>
          <w:sz w:val="28"/>
          <w:szCs w:val="28"/>
        </w:rPr>
        <w:t xml:space="preserve">предмету </w:t>
      </w:r>
      <w:r>
        <w:rPr>
          <w:rFonts w:ascii="Times New Roman" w:eastAsia="Times New Roman" w:hAnsi="Times New Roman" w:cs="Times New Roman"/>
          <w:color w:val="3636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20200"/>
          <w:sz w:val="28"/>
          <w:szCs w:val="28"/>
        </w:rPr>
        <w:t xml:space="preserve">подхода 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12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70700"/>
          <w:sz w:val="28"/>
          <w:szCs w:val="28"/>
        </w:rPr>
        <w:t xml:space="preserve">оценивании </w:t>
      </w:r>
      <w:r>
        <w:rPr>
          <w:rFonts w:ascii="Times New Roman" w:eastAsia="Times New Roman" w:hAnsi="Times New Roman" w:cs="Times New Roman"/>
          <w:color w:val="020200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color w:val="0505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C0C00"/>
          <w:sz w:val="28"/>
          <w:szCs w:val="28"/>
        </w:rPr>
        <w:t xml:space="preserve">контрольных </w:t>
      </w:r>
      <w:r>
        <w:rPr>
          <w:rFonts w:ascii="Times New Roman" w:eastAsia="Times New Roman" w:hAnsi="Times New Roman" w:cs="Times New Roman"/>
          <w:color w:val="0909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в 8- </w:t>
      </w: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>9 классах в соответствии с “</w:t>
      </w:r>
      <w:r>
        <w:rPr>
          <w:rFonts w:ascii="Times New Roman" w:eastAsia="Times New Roman" w:hAnsi="Times New Roman" w:cs="Times New Roman"/>
          <w:color w:val="202000"/>
          <w:sz w:val="28"/>
          <w:szCs w:val="28"/>
        </w:rPr>
        <w:t xml:space="preserve">Методическими </w:t>
      </w:r>
      <w:r>
        <w:rPr>
          <w:rFonts w:ascii="Times New Roman" w:eastAsia="Times New Roman" w:hAnsi="Times New Roman" w:cs="Times New Roman"/>
          <w:color w:val="242400"/>
          <w:sz w:val="28"/>
          <w:szCs w:val="28"/>
        </w:rPr>
        <w:t xml:space="preserve">рекомендациями </w:t>
      </w:r>
      <w:r>
        <w:rPr>
          <w:rFonts w:ascii="Times New Roman" w:eastAsia="Times New Roman" w:hAnsi="Times New Roman" w:cs="Times New Roman"/>
          <w:color w:val="2323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оцениванию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222200"/>
          <w:sz w:val="28"/>
          <w:szCs w:val="28"/>
        </w:rPr>
        <w:t xml:space="preserve">русскому </w:t>
      </w:r>
      <w:r>
        <w:rPr>
          <w:rFonts w:ascii="Times New Roman" w:eastAsia="Times New Roman" w:hAnsi="Times New Roman" w:cs="Times New Roman"/>
          <w:color w:val="272700"/>
          <w:sz w:val="28"/>
          <w:szCs w:val="28"/>
        </w:rPr>
        <w:t xml:space="preserve">языку </w:t>
      </w:r>
      <w:r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02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191900"/>
          <w:sz w:val="28"/>
          <w:szCs w:val="28"/>
        </w:rPr>
        <w:t xml:space="preserve">классе”, разработанными в 2023г. и </w:t>
      </w:r>
      <w:r>
        <w:rPr>
          <w:rFonts w:ascii="Times New Roman" w:eastAsia="Times New Roman" w:hAnsi="Times New Roman" w:cs="Times New Roman"/>
          <w:color w:val="0B0B00"/>
          <w:sz w:val="28"/>
          <w:szCs w:val="28"/>
        </w:rPr>
        <w:t xml:space="preserve">рекомендованными </w:t>
      </w:r>
      <w:r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ГАУ </w:t>
      </w:r>
      <w:r>
        <w:rPr>
          <w:rFonts w:ascii="Times New Roman" w:eastAsia="Times New Roman" w:hAnsi="Times New Roman" w:cs="Times New Roman"/>
          <w:color w:val="1F1F00"/>
          <w:sz w:val="28"/>
          <w:szCs w:val="28"/>
        </w:rPr>
        <w:t xml:space="preserve">ДПО </w:t>
      </w:r>
      <w:r>
        <w:rPr>
          <w:rFonts w:ascii="Times New Roman" w:eastAsia="Times New Roman" w:hAnsi="Times New Roman" w:cs="Times New Roman"/>
          <w:color w:val="2424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ИРО от </w:t>
      </w:r>
      <w:r>
        <w:rPr>
          <w:rFonts w:ascii="Times New Roman" w:eastAsia="Times New Roman" w:hAnsi="Times New Roman" w:cs="Times New Roman"/>
          <w:color w:val="0B0B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80800"/>
          <w:sz w:val="28"/>
          <w:szCs w:val="28"/>
        </w:rPr>
        <w:lastRenderedPageBreak/>
        <w:t xml:space="preserve">использования </w:t>
      </w:r>
      <w:r>
        <w:rPr>
          <w:rFonts w:ascii="Times New Roman" w:eastAsia="Times New Roman" w:hAnsi="Times New Roman" w:cs="Times New Roman"/>
          <w:color w:val="0F0F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color w:val="101000"/>
          <w:sz w:val="28"/>
          <w:szCs w:val="28"/>
        </w:rPr>
        <w:t xml:space="preserve">учителями </w:t>
      </w: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русского </w:t>
      </w:r>
      <w:r>
        <w:rPr>
          <w:rFonts w:ascii="Times New Roman" w:eastAsia="Times New Roman" w:hAnsi="Times New Roman" w:cs="Times New Roman"/>
          <w:color w:val="070700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color w:val="0D0D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литературы </w:t>
      </w:r>
      <w:r>
        <w:rPr>
          <w:rFonts w:ascii="Times New Roman" w:eastAsia="Times New Roman" w:hAnsi="Times New Roman" w:cs="Times New Roman"/>
          <w:color w:val="080800"/>
          <w:sz w:val="28"/>
          <w:szCs w:val="28"/>
        </w:rPr>
        <w:t xml:space="preserve">Самарской 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>области.</w:t>
      </w:r>
      <w:r>
        <w:rPr>
          <w:rFonts w:ascii="Times New Roman" w:eastAsia="Times New Roman" w:hAnsi="Times New Roman" w:cs="Times New Roman"/>
          <w:color w:val="FEFE00"/>
          <w:sz w:val="20"/>
          <w:szCs w:val="20"/>
        </w:rPr>
        <w:t>.</w:t>
      </w:r>
      <w:r>
        <w:rPr>
          <w:rFonts w:ascii="Arial" w:eastAsia="Arial" w:hAnsi="Arial" w:cs="Arial"/>
          <w:color w:val="FEFE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91900"/>
          <w:sz w:val="28"/>
          <w:szCs w:val="28"/>
        </w:rPr>
        <w:t xml:space="preserve">  </w:t>
      </w:r>
      <w:r>
        <w:rPr>
          <w:rFonts w:ascii="Arial" w:eastAsia="Arial" w:hAnsi="Arial" w:cs="Arial"/>
          <w:color w:val="F4F400"/>
          <w:sz w:val="26"/>
          <w:szCs w:val="26"/>
        </w:rPr>
        <w:t xml:space="preserve">. </w:t>
      </w:r>
      <w:proofErr w:type="gramEnd"/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экзамена позволяет дать учителям русского языка следующие рекомендации: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необходимо 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проводить на уроках русского языка систематическую работу с текстами различных стилей (научно-популярного, публицистического, официально-делового и т.д.);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учить понимать, анализировать, интерпретировать текст в знакомой и незнакомой познавательных ситуациях;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совершенствовать систему работы по развитию речи учащихся, направленную на формирование умения оперировать информацией, используя различные приемы сжатия текста, умения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межфразную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в сжатом тексте, умение аргументировать собственную позицию по данной проблеме, умение отбирать и использовать необходимые языковые средства в зависимости от замысла высказывания;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усилить работу по изучению орфографии, синтаксиса и пунктуации;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систематически проводить работу с учащимися над пополнением словарного запаса школьников;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должен владеть современными образовательными технологиями, постоянно повышать свой методический уровень, вырабатывать собственную систему работы по подготовке к ГИА.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на заседаниях МО необходимо проводить тематическое консультирование педагогов по следующим темам: </w:t>
      </w:r>
    </w:p>
    <w:p w:rsidR="00500694" w:rsidRDefault="004C4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рабочих программ по предмету с учетом результатов ГИА. </w:t>
      </w:r>
    </w:p>
    <w:p w:rsidR="00500694" w:rsidRDefault="004C4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оценивания учебных и личностных достижений обучающихся. </w:t>
      </w:r>
    </w:p>
    <w:p w:rsidR="00500694" w:rsidRDefault="004C4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подготовки и проведения групповых и индивидуальных консультаций для учащихся в период подготовки к ГИА. </w:t>
      </w:r>
    </w:p>
    <w:p w:rsidR="00500694" w:rsidRDefault="004C4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технологической карты учебного занятия с учетом требований ОГЭ. </w:t>
      </w:r>
    </w:p>
    <w:p w:rsidR="00500694" w:rsidRDefault="004C4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 в структуре форм организации познавательной деятельности.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результаты ГИА должны учитываться при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КТП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рассматриваются и утверждаются на заседании МО.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по совершенствованию преподавания русского языка для всех обучающихся</w:t>
      </w:r>
    </w:p>
    <w:p w:rsidR="00500694" w:rsidRDefault="004C4C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материал, выяснить, что обучающиеся знают хорошо, что недостаточно, какой материал вызывает затруднения. </w:t>
      </w:r>
    </w:p>
    <w:p w:rsidR="00500694" w:rsidRDefault="004C4C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Отрабатывать на уроках навыки применения правил по тем темам, по которым обучающиеся показали низкий уровень знаний. </w:t>
      </w:r>
    </w:p>
    <w:p w:rsidR="00500694" w:rsidRDefault="004C4C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 и др. </w:t>
      </w:r>
    </w:p>
    <w:p w:rsidR="00500694" w:rsidRDefault="004C4C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 использовать работу над сочинениями и изложениями для автоматизации орфографических и пунктуационных навыков. </w:t>
      </w:r>
    </w:p>
    <w:p w:rsidR="00500694" w:rsidRDefault="004C4C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заданий Открытого банка ОГЭ необходимо для формирования устойчивых навыков письма, но его нужно сочетать с фундаментальной подготовкой, позволяющей сформировать у обучающихся общие учебные действия, способствующие более эффективному усвоению изучаемых вопросов. </w:t>
      </w: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организации дифференцированного обучения школьников с разным уровнем предметной подготовки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Дифференцированное обучение позволяет учесть индивидуальные содержательные и темповые потребности групп школьников, прежде всего обучающихся с ОВЗ, одаренных детей, неуспевающих учеников.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Разный уровень предметной подготовки обучающихся может быть обусловлен многими причинами, поэтому в зависимости от конкретной педагогической ситуации и изучаемого материала рекомендуется использование разных критериев для организации дифференцированного обучения:</w:t>
      </w:r>
      <w:proofErr w:type="gramEnd"/>
    </w:p>
    <w:p w:rsidR="00500694" w:rsidRDefault="004C4CF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Уровень предметных знаний.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с разным уровнем предметных знаний нужно предлагать языковой материал разной сложности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более/менее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сложные слова, более/менее трудные предложения для разбора, базовые или периферийные случаи проявления признаков и т.д.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б) Уровень сформированности метапредметных умений.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с недостаточным уровнем сформированности метапредметных результатов на начальном этапе работы над темой необходимо предлагать задания, не требующие применения метапредметных умений, а затем по мере освоения темы постепенно усложнять форму работы: находить сходства и различия в предъявленном материале в заданном (более простой вариант) или в незаданном (более сложная задача) направлении; подбирать аналогии и продолжать список слов по заданным и незаданным основаниям, подбирать из ряда предложенных или конструировать самостоятельно предложения по схемам, работать с таблицей, приводить свои аргументы или аргументы из текста, классифицировать и т.д.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с высоким уровнем сформированности метапредметных умений полезно предлагать задания, осложненные необходимостью их применять уже на этапе изучения материала. Такая форма предъявления задания является более интересной и позволяет поддерживать мотивацию к изучению предмета.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составлении проверочных работ необходимо учитывать разный уровень сформированности метапредметных результатов, чтобы все учащиеся, освоившие предметный материал, могли показать свои знания.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в) Темп работы и работоспособность.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 с низким темпом работы на разных этапах для классной работы можно предлагать задания: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меньшего объема (количество слов, длина текста);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равного объема, но более простые с точки зрения языкового материала для создания ситуации успеха (например, более короткие предложения для разбора);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менее нагруженные с точки зрения метапредметных умений (например, предложить вместо рисования таблицы в тетради запись слов в три столбика).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г) Степень развития творческих способностей.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сочинению необходимо учитывать творческие способности учеников, уровень развития воображения, фантазии, интерес к другим видам искусства. 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точки зрения при подборе материала для создания связного текста нужно предлагать несколько тем, учитывающих особенности разных групп учащихся, но при этом решающих предметные задачи.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при работе над текстом-повествованием набор тем для сочинения может быть таким: 1) рассказать о событиях минувшего дня (не требуется высокого уровня творческих способностей), 2) написать письмо с рассказом о своих делах (более «творческий» вариант, но жанр письма имеет шаблон, задает структуру текста, помогает «построить» содержание), 3) придумать продолжение рассказа (предполагает максимальное проявление творческих способностей). </w:t>
      </w:r>
      <w:proofErr w:type="gramEnd"/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д) Степень владения языком и уровень развития речи.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написанию сочинений и изложений ребят с невысоким уровнем развития речи, небольшим словарным запасом на определенном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этапе лучше предлагать тексты, доступные им по степени владения языком, чтобы не увеличивать количество учебных задач.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подборе языкового материала для изучения системы языка и норм правописания детям с невысоким уровнем развития речи, небольшим словарным запасом на начальном этапе освоения темы рекомендуется избегать сложных художественных произведений, подбирать тексты и предложения с актуальной для учеников лексикой, продуктивными грамматическими конструкциями, на понятные, интересные темы.</w:t>
      </w:r>
    </w:p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694" w:rsidRDefault="004C4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Адресные рекомендации школам:</w:t>
      </w:r>
    </w:p>
    <w:p w:rsidR="00500694" w:rsidRDefault="004C4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ОО: </w:t>
      </w:r>
    </w:p>
    <w:p w:rsidR="00500694" w:rsidRDefault="004C4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результаты ОГЭ по русскому языку в 9-х классах на заседаниях педсоветов, методического совета, ШМО учителей русского языка и литературы;</w:t>
      </w:r>
    </w:p>
    <w:p w:rsidR="00500694" w:rsidRDefault="004C4CF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в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необходимые диагностические работы с учетом </w:t>
      </w: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02000"/>
          <w:sz w:val="28"/>
          <w:szCs w:val="28"/>
        </w:rPr>
        <w:t xml:space="preserve">Методических </w:t>
      </w:r>
      <w:r>
        <w:rPr>
          <w:rFonts w:ascii="Times New Roman" w:eastAsia="Times New Roman" w:hAnsi="Times New Roman" w:cs="Times New Roman"/>
          <w:color w:val="242400"/>
          <w:sz w:val="28"/>
          <w:szCs w:val="28"/>
        </w:rPr>
        <w:t xml:space="preserve">рекомендаций </w:t>
      </w:r>
      <w:r>
        <w:rPr>
          <w:rFonts w:ascii="Times New Roman" w:eastAsia="Times New Roman" w:hAnsi="Times New Roman" w:cs="Times New Roman"/>
          <w:color w:val="2323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оцениванию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222200"/>
          <w:sz w:val="28"/>
          <w:szCs w:val="28"/>
        </w:rPr>
        <w:t xml:space="preserve">русскому </w:t>
      </w:r>
      <w:r>
        <w:rPr>
          <w:rFonts w:ascii="Times New Roman" w:eastAsia="Times New Roman" w:hAnsi="Times New Roman" w:cs="Times New Roman"/>
          <w:color w:val="272700"/>
          <w:sz w:val="28"/>
          <w:szCs w:val="28"/>
        </w:rPr>
        <w:t xml:space="preserve">языку </w:t>
      </w:r>
      <w:r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02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191900"/>
          <w:sz w:val="28"/>
          <w:szCs w:val="28"/>
        </w:rPr>
        <w:t>классе”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0694" w:rsidRDefault="004C4CF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в общеобразовательных учреждениях единого орфографического режима; </w:t>
      </w:r>
    </w:p>
    <w:p w:rsidR="00500694" w:rsidRDefault="004C4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контроль организации учителями-предметниками работы с текстовой информацией на каждом уроке; </w:t>
      </w:r>
    </w:p>
    <w:p w:rsidR="00500694" w:rsidRDefault="004C4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скорректировать методическую работу с педагогами по подготовке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государственной итоговой аттестации по русскому языку. </w:t>
      </w:r>
    </w:p>
    <w:p w:rsidR="00500694" w:rsidRDefault="004C4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ООШ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ООШ пос. Ровно-Владимировка, ГБОУ ООШ пос. Самарский, ГБОУ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ГБОУ ООШ № 11 г. Новокуйбышевска, ГБОУ ООШ № 12 пос. Шмидта г.о. Новокуйбышевск, ГБОУ ООШ № 20 г. Новокуйбышевска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внимание на систематическое обращение к тесту, начиная с 5 класса, включение в уроки текстов малых форм, особое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внимание к вопросам лексической, грамматической и стилистической сочетаемости слов; 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текста; 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логического мышления и речевой связности использовать в работе интерактивные методы и дидактические приёмы обучения, например, такие как «мозговой штурм», «незаконченное предложение»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всех уроков русского языка необходимо усилить внимание обучающихся к смысловому аспекту текстов;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практиковать целостную работу над абзацем. При систематическом обращении к таким упражнениям ученики привыкают работать с текстовой информацией не только в плане нахождения орфограмм,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выполнения грамматических задач, но и в плане особенного внимания к слову, к смыслу, к авторскому замыслу; </w:t>
      </w:r>
    </w:p>
    <w:p w:rsidR="00500694" w:rsidRDefault="004C4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при анализе уделять приёмам сжатия текстовой информации и их правильному использованию.</w:t>
      </w:r>
    </w:p>
    <w:p w:rsidR="00500694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Овраг, ГБОУ ООШ № 11 г. Новокуйбышевска, ГБОУ СОШ "ОЦ"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пос. Просвет, ГБОУ ООШ № 2 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ООШ № 13 г. Новокуйбышевска:</w:t>
      </w:r>
    </w:p>
    <w:p w:rsidR="00500694" w:rsidRDefault="004C4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усиление практической направленности обучения русскому языку и соединение теории с практикой, что может быть достигнуто при внедрении в учебный процесс практико-ориентированных подходов и приёмов обучения;</w:t>
      </w:r>
    </w:p>
    <w:p w:rsidR="00500694" w:rsidRDefault="004C4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 многоплановую, системную и систематическую работу как с разрозненными предложениями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текстами, поскольку  в текстовом материале слова, словосочетания и предложения приобретают особый смысл, постигая который, обучающиеся не только овладевают знаниям о языке, но и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речевой опыт, необходимый им для выражения в последующей жизни собственных позиций, мыслей, чувств, переживаний.</w:t>
      </w:r>
    </w:p>
    <w:p w:rsidR="0096788E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694" w:rsidRDefault="004C4CFF" w:rsidP="00967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96788E" w:rsidRDefault="00967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88E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</w:t>
      </w:r>
    </w:p>
    <w:p w:rsidR="0096788E" w:rsidRDefault="004C4C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Луговова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Е.В.,</w:t>
      </w:r>
      <w:r w:rsidR="00967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старший методист,</w:t>
      </w:r>
    </w:p>
    <w:p w:rsidR="00500694" w:rsidRDefault="00950B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лимгареева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Г.М</w:t>
      </w:r>
      <w:r w:rsidR="0096788E">
        <w:rPr>
          <w:rFonts w:ascii="Times New Roman" w:eastAsia="Times New Roman" w:hAnsi="Times New Roman" w:cs="Times New Roman"/>
          <w:color w:val="000000"/>
          <w:sz w:val="20"/>
          <w:szCs w:val="20"/>
        </w:rPr>
        <w:t>, учитель русского языка и литературы ГБОУ гимназия № 1</w:t>
      </w:r>
    </w:p>
    <w:p w:rsidR="00500694" w:rsidRDefault="00500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0j0zll" w:colFirst="0" w:colLast="0"/>
      <w:bookmarkEnd w:id="2"/>
    </w:p>
    <w:sectPr w:rsidR="00500694" w:rsidSect="0096788E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273"/>
    <w:multiLevelType w:val="multilevel"/>
    <w:tmpl w:val="00565C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FA4905"/>
    <w:multiLevelType w:val="multilevel"/>
    <w:tmpl w:val="1D8039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CC070B"/>
    <w:multiLevelType w:val="multilevel"/>
    <w:tmpl w:val="CC86C1B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AD4F45"/>
    <w:multiLevelType w:val="multilevel"/>
    <w:tmpl w:val="6DA259D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6F46A9"/>
    <w:multiLevelType w:val="multilevel"/>
    <w:tmpl w:val="EAAEB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367BB8"/>
    <w:multiLevelType w:val="multilevel"/>
    <w:tmpl w:val="382C682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FB0F16"/>
    <w:multiLevelType w:val="multilevel"/>
    <w:tmpl w:val="F7D2CA8C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7E36BA"/>
    <w:multiLevelType w:val="multilevel"/>
    <w:tmpl w:val="722678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607D56"/>
    <w:multiLevelType w:val="multilevel"/>
    <w:tmpl w:val="243C564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0723B4D"/>
    <w:multiLevelType w:val="multilevel"/>
    <w:tmpl w:val="7062B9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E74CFF"/>
    <w:multiLevelType w:val="multilevel"/>
    <w:tmpl w:val="1BCA54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E826F4"/>
    <w:multiLevelType w:val="multilevel"/>
    <w:tmpl w:val="43F445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F501F2"/>
    <w:multiLevelType w:val="multilevel"/>
    <w:tmpl w:val="982A113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CE0239B"/>
    <w:multiLevelType w:val="multilevel"/>
    <w:tmpl w:val="754A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C40D0"/>
    <w:multiLevelType w:val="multilevel"/>
    <w:tmpl w:val="7CB011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694"/>
    <w:rsid w:val="004C4CFF"/>
    <w:rsid w:val="00500694"/>
    <w:rsid w:val="00950B68"/>
    <w:rsid w:val="009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4"/>
  </w:style>
  <w:style w:type="paragraph" w:styleId="1">
    <w:name w:val="heading 1"/>
    <w:basedOn w:val="a"/>
    <w:next w:val="a"/>
    <w:rsid w:val="005006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006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006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06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06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006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0694"/>
  </w:style>
  <w:style w:type="table" w:customStyle="1" w:styleId="TableNormal">
    <w:name w:val="Table Normal"/>
    <w:rsid w:val="005006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06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006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1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10"/>
    <w:next w:val="10"/>
    <w:rsid w:val="005006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500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500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500694"/>
    <w:tblPr>
      <w:tblStyleRowBandSize w:val="1"/>
      <w:tblStyleColBandSize w:val="1"/>
    </w:tblPr>
  </w:style>
  <w:style w:type="table" w:customStyle="1" w:styleId="af3">
    <w:basedOn w:val="TableNormal1"/>
    <w:rsid w:val="00500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50069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7012B"/>
  </w:style>
  <w:style w:type="paragraph" w:styleId="afa">
    <w:name w:val="footer"/>
    <w:basedOn w:val="a"/>
    <w:link w:val="afb"/>
    <w:uiPriority w:val="99"/>
    <w:unhideWhenUsed/>
    <w:rsid w:val="00B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7012B"/>
  </w:style>
  <w:style w:type="paragraph" w:customStyle="1" w:styleId="s1">
    <w:name w:val="s_1"/>
    <w:basedOn w:val="a"/>
    <w:rsid w:val="004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500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sid w:val="0050069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50069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50069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50069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L2xTn14cy7dyPaPSrxF1tr/M8w==">CgMxLjAyCGguZ2pkZ3hzMgloLjMwajB6bGw4AHIhMUdwWjg0bi1nZ0xkLUxOQktnMWNEUnRTTDUwaVB1SDFm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7455</Words>
  <Characters>42498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Луговова Е.В.</dc:creator>
  <cp:lastModifiedBy>Луговова Е.В.</cp:lastModifiedBy>
  <cp:revision>3</cp:revision>
  <cp:lastPrinted>2023-08-23T06:32:00Z</cp:lastPrinted>
  <dcterms:created xsi:type="dcterms:W3CDTF">2023-06-26T07:12:00Z</dcterms:created>
  <dcterms:modified xsi:type="dcterms:W3CDTF">2023-08-23T06:32:00Z</dcterms:modified>
</cp:coreProperties>
</file>