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Pr="00290F8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930C15">
        <w:rPr>
          <w:rStyle w:val="af5"/>
          <w:sz w:val="28"/>
          <w:u w:val="single"/>
        </w:rPr>
        <w:t>ИСТОРИЯ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791F29" w:rsidRPr="00931BA3" w:rsidRDefault="005060D9" w:rsidP="00D116BF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671A68">
        <w:rPr>
          <w:rStyle w:val="a6"/>
          <w:b/>
          <w:bCs/>
          <w:sz w:val="28"/>
          <w:szCs w:val="28"/>
        </w:rPr>
        <w:footnoteReference w:id="1"/>
      </w:r>
      <w:r w:rsidR="008555D2">
        <w:rPr>
          <w:b/>
          <w:bCs/>
          <w:sz w:val="28"/>
          <w:szCs w:val="28"/>
        </w:rPr>
        <w:t xml:space="preserve"> 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9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993"/>
        <w:gridCol w:w="992"/>
        <w:gridCol w:w="1134"/>
        <w:gridCol w:w="992"/>
        <w:gridCol w:w="1134"/>
        <w:gridCol w:w="1134"/>
      </w:tblGrid>
      <w:tr w:rsidR="00930C15" w:rsidRPr="00931BA3" w:rsidTr="00930C15">
        <w:trPr>
          <w:cantSplit/>
          <w:tblHeader/>
        </w:trPr>
        <w:tc>
          <w:tcPr>
            <w:tcW w:w="3402" w:type="dxa"/>
            <w:vMerge w:val="restart"/>
            <w:vAlign w:val="center"/>
          </w:tcPr>
          <w:p w:rsidR="00930C15" w:rsidRPr="00931BA3" w:rsidRDefault="00930C15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85" w:type="dxa"/>
            <w:gridSpan w:val="2"/>
            <w:vAlign w:val="center"/>
          </w:tcPr>
          <w:p w:rsidR="00930C15" w:rsidRPr="00931BA3" w:rsidRDefault="00930C15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2126" w:type="dxa"/>
            <w:gridSpan w:val="2"/>
            <w:vAlign w:val="center"/>
          </w:tcPr>
          <w:p w:rsidR="00930C15" w:rsidRPr="00931BA3" w:rsidRDefault="00930C15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2268" w:type="dxa"/>
            <w:gridSpan w:val="2"/>
            <w:vAlign w:val="center"/>
          </w:tcPr>
          <w:p w:rsidR="00930C15" w:rsidRPr="00931BA3" w:rsidRDefault="00930C15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930C15" w:rsidRPr="00931BA3" w:rsidTr="00930C15">
        <w:trPr>
          <w:cantSplit/>
          <w:tblHeader/>
        </w:trPr>
        <w:tc>
          <w:tcPr>
            <w:tcW w:w="3402" w:type="dxa"/>
            <w:vMerge/>
          </w:tcPr>
          <w:p w:rsidR="00930C15" w:rsidRPr="00931BA3" w:rsidRDefault="00930C15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93" w:type="dxa"/>
            <w:vAlign w:val="center"/>
          </w:tcPr>
          <w:p w:rsidR="00930C15" w:rsidRPr="00931BA3" w:rsidRDefault="00930C1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92" w:type="dxa"/>
            <w:vAlign w:val="center"/>
          </w:tcPr>
          <w:p w:rsidR="00930C15" w:rsidRPr="00931BA3" w:rsidRDefault="00930C1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930C15" w:rsidRPr="00931BA3" w:rsidRDefault="00930C1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92" w:type="dxa"/>
            <w:vAlign w:val="center"/>
          </w:tcPr>
          <w:p w:rsidR="00930C15" w:rsidRPr="00931BA3" w:rsidRDefault="00930C1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134" w:type="dxa"/>
            <w:vAlign w:val="center"/>
          </w:tcPr>
          <w:p w:rsidR="00930C15" w:rsidRPr="00931BA3" w:rsidRDefault="00930C1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134" w:type="dxa"/>
            <w:vAlign w:val="center"/>
          </w:tcPr>
          <w:p w:rsidR="00930C15" w:rsidRPr="00931BA3" w:rsidRDefault="00930C1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7C558D" w:rsidRPr="00931BA3" w:rsidTr="00930C15">
        <w:tc>
          <w:tcPr>
            <w:tcW w:w="3402" w:type="dxa"/>
            <w:vAlign w:val="center"/>
          </w:tcPr>
          <w:p w:rsidR="007C558D" w:rsidRPr="00931BA3" w:rsidRDefault="007C558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</w:t>
            </w:r>
            <w:r>
              <w:t>е</w:t>
            </w:r>
            <w:r w:rsidRPr="00931BA3">
              <w:t>ся по программам ООО</w:t>
            </w:r>
          </w:p>
        </w:tc>
        <w:tc>
          <w:tcPr>
            <w:tcW w:w="993" w:type="dxa"/>
            <w:vAlign w:val="center"/>
          </w:tcPr>
          <w:p w:rsidR="007C558D" w:rsidRPr="00C66296" w:rsidRDefault="007C558D" w:rsidP="007C558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66296">
              <w:rPr>
                <w:noProof/>
              </w:rPr>
              <w:t>35</w:t>
            </w:r>
          </w:p>
        </w:tc>
        <w:tc>
          <w:tcPr>
            <w:tcW w:w="992" w:type="dxa"/>
            <w:vAlign w:val="center"/>
          </w:tcPr>
          <w:p w:rsidR="007C558D" w:rsidRPr="00C66296" w:rsidRDefault="007C558D" w:rsidP="007C558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66296">
              <w:rPr>
                <w:noProof/>
              </w:rPr>
              <w:t>100%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7C558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66296">
              <w:rPr>
                <w:noProof/>
              </w:rPr>
              <w:t>35</w:t>
            </w:r>
          </w:p>
        </w:tc>
        <w:tc>
          <w:tcPr>
            <w:tcW w:w="992" w:type="dxa"/>
            <w:vAlign w:val="center"/>
          </w:tcPr>
          <w:p w:rsidR="007C558D" w:rsidRPr="00C66296" w:rsidRDefault="007C558D" w:rsidP="007C558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66296">
              <w:rPr>
                <w:noProof/>
              </w:rPr>
              <w:t>100%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8555D2">
            <w:pPr>
              <w:jc w:val="center"/>
            </w:pPr>
            <w:r w:rsidRPr="00C66296">
              <w:t>47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8555D2">
            <w:pPr>
              <w:jc w:val="center"/>
            </w:pPr>
            <w:r w:rsidRPr="00C66296">
              <w:t>100%</w:t>
            </w:r>
          </w:p>
        </w:tc>
      </w:tr>
      <w:tr w:rsidR="007C558D" w:rsidRPr="00931BA3" w:rsidTr="00930C15">
        <w:tc>
          <w:tcPr>
            <w:tcW w:w="3402" w:type="dxa"/>
            <w:vAlign w:val="center"/>
          </w:tcPr>
          <w:p w:rsidR="007C558D" w:rsidRDefault="007C558D" w:rsidP="008555D2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993" w:type="dxa"/>
            <w:vAlign w:val="center"/>
          </w:tcPr>
          <w:p w:rsidR="007C558D" w:rsidRPr="00C66296" w:rsidRDefault="007C558D" w:rsidP="007C558D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7C558D" w:rsidRPr="00C66296" w:rsidRDefault="007C558D" w:rsidP="007C558D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1</w:t>
            </w:r>
          </w:p>
        </w:tc>
        <w:tc>
          <w:tcPr>
            <w:tcW w:w="992" w:type="dxa"/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2,9%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8555D2">
            <w:pPr>
              <w:jc w:val="center"/>
            </w:pPr>
            <w:r w:rsidRPr="00C66296">
              <w:rPr>
                <w:rFonts w:eastAsia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8555D2">
            <w:pPr>
              <w:jc w:val="center"/>
            </w:pPr>
            <w:r w:rsidRPr="00C66296">
              <w:t>6,4%</w:t>
            </w:r>
          </w:p>
        </w:tc>
      </w:tr>
      <w:tr w:rsidR="007C558D" w:rsidRPr="00931BA3" w:rsidTr="00930C15">
        <w:tc>
          <w:tcPr>
            <w:tcW w:w="3402" w:type="dxa"/>
            <w:vAlign w:val="center"/>
          </w:tcPr>
          <w:p w:rsidR="007C558D" w:rsidRDefault="007C558D" w:rsidP="008555D2">
            <w:pPr>
              <w:tabs>
                <w:tab w:val="left" w:pos="10320"/>
              </w:tabs>
            </w:pPr>
            <w:r w:rsidRPr="00E213F3">
              <w:t>Выпускники школ с углубленным изучением предметов</w:t>
            </w:r>
          </w:p>
        </w:tc>
        <w:tc>
          <w:tcPr>
            <w:tcW w:w="993" w:type="dxa"/>
            <w:vAlign w:val="center"/>
          </w:tcPr>
          <w:p w:rsidR="007C558D" w:rsidRPr="00C66296" w:rsidRDefault="00C66296" w:rsidP="007C558D">
            <w:pPr>
              <w:jc w:val="center"/>
            </w:pPr>
            <w:r w:rsidRPr="00C66296">
              <w:t>0</w:t>
            </w:r>
          </w:p>
        </w:tc>
        <w:tc>
          <w:tcPr>
            <w:tcW w:w="992" w:type="dxa"/>
            <w:vAlign w:val="center"/>
          </w:tcPr>
          <w:p w:rsidR="007C558D" w:rsidRPr="00C66296" w:rsidRDefault="00C66296" w:rsidP="007C558D">
            <w:pPr>
              <w:jc w:val="center"/>
            </w:pPr>
            <w:r w:rsidRPr="00C66296">
              <w:t>0%</w:t>
            </w:r>
          </w:p>
        </w:tc>
        <w:tc>
          <w:tcPr>
            <w:tcW w:w="1134" w:type="dxa"/>
            <w:vAlign w:val="center"/>
          </w:tcPr>
          <w:p w:rsidR="007C558D" w:rsidRPr="00C66296" w:rsidRDefault="00C66296" w:rsidP="007C558D">
            <w:pPr>
              <w:jc w:val="center"/>
            </w:pPr>
            <w:r w:rsidRPr="00C66296">
              <w:t>1</w:t>
            </w:r>
          </w:p>
        </w:tc>
        <w:tc>
          <w:tcPr>
            <w:tcW w:w="992" w:type="dxa"/>
            <w:vAlign w:val="center"/>
          </w:tcPr>
          <w:p w:rsidR="007C558D" w:rsidRPr="00C66296" w:rsidRDefault="00C66296" w:rsidP="007C558D">
            <w:pPr>
              <w:jc w:val="center"/>
            </w:pPr>
            <w:r w:rsidRPr="00C66296">
              <w:t>2,9%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8555D2">
            <w:pPr>
              <w:jc w:val="center"/>
            </w:pPr>
            <w:r w:rsidRPr="00C66296">
              <w:rPr>
                <w:rFonts w:eastAsia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8555D2">
            <w:pPr>
              <w:jc w:val="center"/>
            </w:pPr>
            <w:r w:rsidRPr="00C66296">
              <w:t>4,3%</w:t>
            </w:r>
          </w:p>
        </w:tc>
      </w:tr>
      <w:tr w:rsidR="007C558D" w:rsidRPr="00931BA3" w:rsidTr="00930C15">
        <w:tc>
          <w:tcPr>
            <w:tcW w:w="3402" w:type="dxa"/>
            <w:vAlign w:val="center"/>
          </w:tcPr>
          <w:p w:rsidR="007C558D" w:rsidRDefault="007C558D" w:rsidP="008555D2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993" w:type="dxa"/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30</w:t>
            </w:r>
          </w:p>
        </w:tc>
        <w:tc>
          <w:tcPr>
            <w:tcW w:w="992" w:type="dxa"/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85,7%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E22C73">
            <w:pPr>
              <w:jc w:val="center"/>
            </w:pPr>
            <w:r w:rsidRPr="00C66296">
              <w:t>2</w:t>
            </w:r>
            <w:r w:rsidR="00E22C73">
              <w:t>6</w:t>
            </w:r>
          </w:p>
        </w:tc>
        <w:tc>
          <w:tcPr>
            <w:tcW w:w="992" w:type="dxa"/>
            <w:vAlign w:val="center"/>
          </w:tcPr>
          <w:p w:rsidR="007C558D" w:rsidRPr="00C66296" w:rsidRDefault="007C558D" w:rsidP="00E22C73">
            <w:pPr>
              <w:jc w:val="center"/>
            </w:pPr>
            <w:r w:rsidRPr="00C66296">
              <w:t>7</w:t>
            </w:r>
            <w:r w:rsidR="00E22C73">
              <w:t>4,3</w:t>
            </w:r>
            <w:r w:rsidRPr="00C66296">
              <w:t>%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8555D2">
            <w:pPr>
              <w:jc w:val="center"/>
            </w:pPr>
            <w:r w:rsidRPr="00C66296">
              <w:rPr>
                <w:rFonts w:eastAsia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8555D2">
            <w:pPr>
              <w:jc w:val="center"/>
            </w:pPr>
            <w:r w:rsidRPr="00C66296">
              <w:t>80,9%</w:t>
            </w:r>
          </w:p>
        </w:tc>
      </w:tr>
      <w:tr w:rsidR="007C558D" w:rsidRPr="00931BA3" w:rsidTr="00930C15">
        <w:tc>
          <w:tcPr>
            <w:tcW w:w="3402" w:type="dxa"/>
            <w:vAlign w:val="center"/>
          </w:tcPr>
          <w:p w:rsidR="007C558D" w:rsidRDefault="007C558D" w:rsidP="008555D2">
            <w:pPr>
              <w:tabs>
                <w:tab w:val="left" w:pos="10320"/>
              </w:tabs>
            </w:pPr>
            <w:r w:rsidRPr="00B057A5">
              <w:t>В</w:t>
            </w:r>
            <w:r>
              <w:t>ыпускники О</w:t>
            </w:r>
            <w:r w:rsidRPr="00B057A5">
              <w:t>ОШ</w:t>
            </w:r>
          </w:p>
        </w:tc>
        <w:tc>
          <w:tcPr>
            <w:tcW w:w="993" w:type="dxa"/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5</w:t>
            </w:r>
          </w:p>
        </w:tc>
        <w:tc>
          <w:tcPr>
            <w:tcW w:w="992" w:type="dxa"/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14,3%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7</w:t>
            </w:r>
          </w:p>
        </w:tc>
        <w:tc>
          <w:tcPr>
            <w:tcW w:w="992" w:type="dxa"/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20,0%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930C15">
            <w:pPr>
              <w:jc w:val="center"/>
            </w:pPr>
            <w:r w:rsidRPr="00C66296">
              <w:rPr>
                <w:rFonts w:eastAsia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8555D2">
            <w:pPr>
              <w:jc w:val="center"/>
            </w:pPr>
            <w:r w:rsidRPr="00C66296">
              <w:t>8,5%</w:t>
            </w:r>
          </w:p>
        </w:tc>
      </w:tr>
      <w:tr w:rsidR="007C558D" w:rsidRPr="00931BA3" w:rsidTr="00930C15">
        <w:tc>
          <w:tcPr>
            <w:tcW w:w="3402" w:type="dxa"/>
            <w:shd w:val="clear" w:color="auto" w:fill="auto"/>
            <w:vAlign w:val="center"/>
          </w:tcPr>
          <w:p w:rsidR="007C558D" w:rsidRPr="001B0018" w:rsidRDefault="007C558D" w:rsidP="008555D2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993" w:type="dxa"/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0</w:t>
            </w:r>
          </w:p>
        </w:tc>
        <w:tc>
          <w:tcPr>
            <w:tcW w:w="992" w:type="dxa"/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0,0%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0</w:t>
            </w:r>
          </w:p>
        </w:tc>
        <w:tc>
          <w:tcPr>
            <w:tcW w:w="992" w:type="dxa"/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0,0%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8555D2">
            <w:pPr>
              <w:jc w:val="center"/>
            </w:pPr>
            <w:r w:rsidRPr="00C66296">
              <w:t>0</w:t>
            </w:r>
          </w:p>
        </w:tc>
        <w:tc>
          <w:tcPr>
            <w:tcW w:w="1134" w:type="dxa"/>
            <w:vAlign w:val="center"/>
          </w:tcPr>
          <w:p w:rsidR="007C558D" w:rsidRPr="00C66296" w:rsidRDefault="007C558D" w:rsidP="00930C15">
            <w:pPr>
              <w:jc w:val="center"/>
            </w:pPr>
            <w:r w:rsidRPr="00C66296">
              <w:t>0,0%</w:t>
            </w:r>
          </w:p>
        </w:tc>
      </w:tr>
      <w:tr w:rsidR="007C558D" w:rsidRPr="00931BA3" w:rsidTr="00930C1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8D" w:rsidRDefault="007C558D" w:rsidP="000E0643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>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8D" w:rsidRPr="00C66296" w:rsidRDefault="007C558D" w:rsidP="008555D2">
            <w:pPr>
              <w:jc w:val="center"/>
            </w:pPr>
            <w:r w:rsidRPr="00C6629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8D" w:rsidRPr="00C66296" w:rsidRDefault="007C558D" w:rsidP="00930C15">
            <w:pPr>
              <w:jc w:val="center"/>
            </w:pPr>
            <w:r w:rsidRPr="00C66296">
              <w:t>0,0%</w:t>
            </w:r>
          </w:p>
        </w:tc>
      </w:tr>
      <w:tr w:rsidR="007C558D" w:rsidRPr="00931BA3" w:rsidTr="00930C1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8D" w:rsidRDefault="007C558D" w:rsidP="000E0643">
            <w:pPr>
              <w:tabs>
                <w:tab w:val="left" w:pos="10320"/>
              </w:tabs>
            </w:pPr>
            <w:r w:rsidRPr="00E213F3">
              <w:t>Выпускники ОО, не завершившие ООО в предыдущие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8D" w:rsidRPr="00C66296" w:rsidRDefault="007C558D" w:rsidP="007C558D">
            <w:pPr>
              <w:jc w:val="center"/>
            </w:pPr>
            <w:r w:rsidRPr="00C66296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8D" w:rsidRPr="00C66296" w:rsidRDefault="007C558D" w:rsidP="008555D2">
            <w:pPr>
              <w:jc w:val="center"/>
            </w:pPr>
            <w:r w:rsidRPr="00C6629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8D" w:rsidRPr="00C66296" w:rsidRDefault="007C558D" w:rsidP="008555D2">
            <w:pPr>
              <w:jc w:val="center"/>
            </w:pPr>
            <w:r w:rsidRPr="00C66296">
              <w:t>0,0%</w:t>
            </w:r>
          </w:p>
        </w:tc>
      </w:tr>
    </w:tbl>
    <w:p w:rsidR="003602B9" w:rsidRDefault="003602B9" w:rsidP="00EB7C8C">
      <w:pPr>
        <w:jc w:val="both"/>
        <w:rPr>
          <w:b/>
        </w:rPr>
      </w:pPr>
      <w:bookmarkStart w:id="3" w:name="_Toc424490577"/>
    </w:p>
    <w:p w:rsidR="005060D9" w:rsidRPr="002178E5" w:rsidRDefault="0079316A" w:rsidP="00EB7C8C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3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6C144B" w:rsidRPr="00C66296" w:rsidRDefault="006C144B" w:rsidP="006C144B">
      <w:pPr>
        <w:jc w:val="both"/>
        <w:rPr>
          <w:u w:val="single"/>
        </w:rPr>
      </w:pPr>
      <w:r w:rsidRPr="00C66296">
        <w:rPr>
          <w:szCs w:val="28"/>
          <w:u w:val="single"/>
        </w:rPr>
        <w:t>Увеличилось количество участников по предмету в целом, а также с 2019 года произошло увеличение по категории «</w:t>
      </w:r>
      <w:r w:rsidRPr="00C66296">
        <w:rPr>
          <w:u w:val="single"/>
        </w:rPr>
        <w:t xml:space="preserve">Выпускники СОШ» на </w:t>
      </w:r>
      <w:r w:rsidR="00E22C73">
        <w:rPr>
          <w:u w:val="single"/>
        </w:rPr>
        <w:t>6</w:t>
      </w:r>
      <w:r w:rsidRPr="00C66296">
        <w:rPr>
          <w:u w:val="single"/>
        </w:rPr>
        <w:t>,</w:t>
      </w:r>
      <w:r w:rsidR="00E22C73">
        <w:rPr>
          <w:u w:val="single"/>
        </w:rPr>
        <w:t>6</w:t>
      </w:r>
      <w:r w:rsidRPr="00C66296">
        <w:rPr>
          <w:u w:val="single"/>
        </w:rPr>
        <w:t xml:space="preserve">%. По категории «Выпускники ООШ» </w:t>
      </w:r>
      <w:r w:rsidR="00C66296" w:rsidRPr="00C66296">
        <w:rPr>
          <w:u w:val="single"/>
        </w:rPr>
        <w:t>в 2022 году</w:t>
      </w:r>
      <w:r w:rsidRPr="00C66296">
        <w:rPr>
          <w:u w:val="single"/>
        </w:rPr>
        <w:t xml:space="preserve"> показатель снизился на </w:t>
      </w:r>
      <w:r w:rsidR="00C66296" w:rsidRPr="00C66296">
        <w:rPr>
          <w:u w:val="single"/>
        </w:rPr>
        <w:t>11</w:t>
      </w:r>
      <w:r w:rsidRPr="00C66296">
        <w:rPr>
          <w:u w:val="single"/>
        </w:rPr>
        <w:t>,</w:t>
      </w:r>
      <w:r w:rsidR="00C66296" w:rsidRPr="00C66296">
        <w:rPr>
          <w:u w:val="single"/>
        </w:rPr>
        <w:t>5</w:t>
      </w:r>
      <w:r w:rsidRPr="00C66296">
        <w:rPr>
          <w:u w:val="single"/>
        </w:rPr>
        <w:t xml:space="preserve">%. </w:t>
      </w:r>
      <w:r w:rsidR="00C66296" w:rsidRPr="00C66296">
        <w:rPr>
          <w:u w:val="single"/>
        </w:rPr>
        <w:t xml:space="preserve">Увеличилось количество участников из категории «Выпускники гимназии» на 3,5% и «Выпускники школ с углубленным изучением предметов» - </w:t>
      </w:r>
      <w:proofErr w:type="gramStart"/>
      <w:r w:rsidR="00C66296" w:rsidRPr="00C66296">
        <w:rPr>
          <w:u w:val="single"/>
        </w:rPr>
        <w:t>на</w:t>
      </w:r>
      <w:proofErr w:type="gramEnd"/>
      <w:r w:rsidR="00C66296" w:rsidRPr="00C66296">
        <w:rPr>
          <w:u w:val="single"/>
        </w:rPr>
        <w:t xml:space="preserve"> 1,4%</w:t>
      </w:r>
      <w:r w:rsidRPr="00C66296">
        <w:rPr>
          <w:u w:val="single"/>
        </w:rPr>
        <w:t>.</w:t>
      </w:r>
    </w:p>
    <w:p w:rsidR="00022E68" w:rsidRPr="00C66296" w:rsidRDefault="00C66296" w:rsidP="006C144B">
      <w:pPr>
        <w:jc w:val="both"/>
        <w:rPr>
          <w:szCs w:val="28"/>
          <w:u w:val="single"/>
        </w:rPr>
      </w:pPr>
      <w:r w:rsidRPr="00C66296">
        <w:rPr>
          <w:szCs w:val="28"/>
          <w:u w:val="single"/>
        </w:rPr>
        <w:t>За 3 года</w:t>
      </w:r>
      <w:r w:rsidR="006C144B" w:rsidRPr="00C66296">
        <w:rPr>
          <w:szCs w:val="28"/>
          <w:u w:val="single"/>
        </w:rPr>
        <w:t xml:space="preserve"> </w:t>
      </w:r>
      <w:r w:rsidRPr="00C66296">
        <w:rPr>
          <w:szCs w:val="28"/>
          <w:u w:val="single"/>
        </w:rPr>
        <w:t xml:space="preserve">среди </w:t>
      </w:r>
      <w:r w:rsidR="006C144B" w:rsidRPr="00C66296">
        <w:rPr>
          <w:szCs w:val="28"/>
          <w:u w:val="single"/>
        </w:rPr>
        <w:t xml:space="preserve">участников по предмету </w:t>
      </w:r>
      <w:r w:rsidRPr="00C66296">
        <w:rPr>
          <w:szCs w:val="28"/>
          <w:u w:val="single"/>
        </w:rPr>
        <w:t>история</w:t>
      </w:r>
      <w:r w:rsidR="006C144B" w:rsidRPr="00C66296">
        <w:rPr>
          <w:szCs w:val="28"/>
          <w:u w:val="single"/>
        </w:rPr>
        <w:t xml:space="preserve">, </w:t>
      </w:r>
      <w:r w:rsidRPr="00C66296">
        <w:rPr>
          <w:szCs w:val="28"/>
          <w:u w:val="single"/>
        </w:rPr>
        <w:t xml:space="preserve">нет участников, </w:t>
      </w:r>
      <w:r w:rsidR="006C144B" w:rsidRPr="00C66296">
        <w:rPr>
          <w:szCs w:val="28"/>
          <w:u w:val="single"/>
        </w:rPr>
        <w:t>относящихся к категории «</w:t>
      </w:r>
      <w:r w:rsidR="006C144B" w:rsidRPr="00C66296">
        <w:rPr>
          <w:u w:val="single"/>
        </w:rPr>
        <w:t>Участники  с ограниченными возможностями здоровья»</w:t>
      </w:r>
      <w:r w:rsidRPr="00C66296">
        <w:rPr>
          <w:u w:val="single"/>
        </w:rPr>
        <w:t>, нет «О</w:t>
      </w:r>
      <w:r w:rsidR="006C144B" w:rsidRPr="00C66296">
        <w:rPr>
          <w:szCs w:val="28"/>
          <w:u w:val="single"/>
        </w:rPr>
        <w:t>бучающихся на дому</w:t>
      </w:r>
      <w:r w:rsidRPr="00C66296">
        <w:rPr>
          <w:szCs w:val="28"/>
          <w:u w:val="single"/>
        </w:rPr>
        <w:t xml:space="preserve">» и нет </w:t>
      </w:r>
      <w:r w:rsidR="006C144B" w:rsidRPr="00C66296">
        <w:rPr>
          <w:szCs w:val="28"/>
          <w:u w:val="single"/>
        </w:rPr>
        <w:t xml:space="preserve"> </w:t>
      </w:r>
      <w:r w:rsidRPr="00C66296">
        <w:rPr>
          <w:szCs w:val="28"/>
          <w:u w:val="single"/>
        </w:rPr>
        <w:t>«</w:t>
      </w:r>
      <w:r w:rsidRPr="00C66296">
        <w:rPr>
          <w:u w:val="single"/>
        </w:rPr>
        <w:t>Выпускников ОО, не завершившие ООО в предыдущие годы»</w:t>
      </w:r>
      <w:r w:rsidR="006C144B" w:rsidRPr="00C66296">
        <w:rPr>
          <w:szCs w:val="28"/>
          <w:u w:val="single"/>
        </w:rPr>
        <w:t>.</w:t>
      </w:r>
    </w:p>
    <w:p w:rsidR="005060D9" w:rsidRPr="00290F80" w:rsidRDefault="00903AC5" w:rsidP="00C66296">
      <w:pPr>
        <w:spacing w:before="240"/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:rsidR="00A80A00" w:rsidRDefault="00A80A00" w:rsidP="00EB7C8C">
      <w:pPr>
        <w:tabs>
          <w:tab w:val="left" w:pos="2010"/>
        </w:tabs>
        <w:jc w:val="both"/>
      </w:pPr>
    </w:p>
    <w:p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>в 202</w:t>
      </w:r>
      <w:r w:rsidR="00C51483">
        <w:rPr>
          <w:b/>
        </w:rPr>
        <w:t>2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:rsidR="007A74B7" w:rsidRDefault="007A74B7" w:rsidP="002178E5">
      <w:pPr>
        <w:tabs>
          <w:tab w:val="left" w:pos="2010"/>
        </w:tabs>
        <w:jc w:val="both"/>
        <w:rPr>
          <w:b/>
        </w:rPr>
      </w:pPr>
    </w:p>
    <w:p w:rsidR="00342393" w:rsidRDefault="00930C15">
      <w:pPr>
        <w:spacing w:after="200" w:line="276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541645" cy="3291840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134"/>
        <w:gridCol w:w="1276"/>
        <w:gridCol w:w="992"/>
        <w:gridCol w:w="1134"/>
        <w:gridCol w:w="1134"/>
        <w:gridCol w:w="1418"/>
      </w:tblGrid>
      <w:tr w:rsidR="005A1897" w:rsidRPr="00931BA3" w:rsidTr="005A1897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:rsidR="005A1897" w:rsidRPr="00931BA3" w:rsidRDefault="005A1897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5A1897" w:rsidRPr="00D831A4" w:rsidRDefault="005A1897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897" w:rsidRPr="00D831A4" w:rsidRDefault="005A1897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5A1897" w:rsidRPr="00D831A4" w:rsidRDefault="005A1897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5A1897" w:rsidRPr="00931BA3" w:rsidTr="005A1897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:rsidR="005A1897" w:rsidRPr="00931BA3" w:rsidRDefault="005A1897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897" w:rsidRPr="00931BA3" w:rsidRDefault="005A1897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897" w:rsidRPr="00931BA3" w:rsidRDefault="005A1897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3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1897" w:rsidRPr="00931BA3" w:rsidRDefault="005A1897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A1897" w:rsidRPr="00931BA3" w:rsidRDefault="005A1897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897" w:rsidRPr="00931BA3" w:rsidRDefault="005A1897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1897" w:rsidRPr="00931BA3" w:rsidRDefault="005A1897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5A1897" w:rsidRPr="00931BA3" w:rsidTr="005A1897">
        <w:trPr>
          <w:trHeight w:val="349"/>
        </w:trPr>
        <w:tc>
          <w:tcPr>
            <w:tcW w:w="1701" w:type="dxa"/>
            <w:vAlign w:val="center"/>
          </w:tcPr>
          <w:p w:rsidR="005A1897" w:rsidRPr="00931BA3" w:rsidRDefault="005A1897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9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9EB">
              <w:rPr>
                <w:rFonts w:ascii="Arial" w:hAnsi="Arial" w:cs="Arial"/>
                <w:sz w:val="20"/>
                <w:szCs w:val="20"/>
              </w:rPr>
              <w:t>8,6%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9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9EB">
              <w:rPr>
                <w:rFonts w:ascii="Arial" w:hAnsi="Arial" w:cs="Arial"/>
                <w:sz w:val="20"/>
                <w:szCs w:val="20"/>
              </w:rPr>
              <w:t>2,9%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897" w:rsidRPr="00931BA3" w:rsidRDefault="005A1897" w:rsidP="0023025C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1897" w:rsidRPr="00931BA3" w:rsidRDefault="005A1897" w:rsidP="0023025C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</w:tr>
      <w:tr w:rsidR="005A1897" w:rsidRPr="00931BA3" w:rsidTr="005A1897">
        <w:trPr>
          <w:trHeight w:val="338"/>
        </w:trPr>
        <w:tc>
          <w:tcPr>
            <w:tcW w:w="1701" w:type="dxa"/>
            <w:vAlign w:val="center"/>
          </w:tcPr>
          <w:p w:rsidR="005A1897" w:rsidRPr="00931BA3" w:rsidRDefault="005A1897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9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9EB">
              <w:rPr>
                <w:rFonts w:ascii="Arial" w:hAnsi="Arial" w:cs="Arial"/>
                <w:sz w:val="20"/>
                <w:szCs w:val="20"/>
              </w:rPr>
              <w:t>51,4%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9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9EB">
              <w:rPr>
                <w:rFonts w:ascii="Arial" w:hAnsi="Arial" w:cs="Arial"/>
                <w:sz w:val="20"/>
                <w:szCs w:val="20"/>
              </w:rPr>
              <w:t>45,7%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897" w:rsidRPr="00931BA3" w:rsidRDefault="005A1897" w:rsidP="0023025C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1897" w:rsidRPr="00931BA3" w:rsidRDefault="005A1897" w:rsidP="0023025C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31,9%</w:t>
            </w:r>
          </w:p>
        </w:tc>
      </w:tr>
      <w:tr w:rsidR="005A1897" w:rsidRPr="00931BA3" w:rsidTr="005A1897">
        <w:trPr>
          <w:trHeight w:val="338"/>
        </w:trPr>
        <w:tc>
          <w:tcPr>
            <w:tcW w:w="1701" w:type="dxa"/>
            <w:vAlign w:val="center"/>
          </w:tcPr>
          <w:p w:rsidR="005A1897" w:rsidRPr="00931BA3" w:rsidRDefault="005A1897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9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9EB">
              <w:rPr>
                <w:rFonts w:ascii="Arial" w:hAnsi="Arial" w:cs="Arial"/>
                <w:sz w:val="20"/>
                <w:szCs w:val="20"/>
              </w:rPr>
              <w:t>28,6%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9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9EB">
              <w:rPr>
                <w:rFonts w:ascii="Arial" w:hAnsi="Arial" w:cs="Arial"/>
                <w:sz w:val="20"/>
                <w:szCs w:val="20"/>
              </w:rPr>
              <w:t>45,7%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897" w:rsidRPr="00931BA3" w:rsidRDefault="005A1897" w:rsidP="0023025C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1897" w:rsidRPr="00931BA3" w:rsidRDefault="005A1897" w:rsidP="0023025C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38,3%</w:t>
            </w:r>
          </w:p>
        </w:tc>
      </w:tr>
      <w:tr w:rsidR="005A1897" w:rsidRPr="00931BA3" w:rsidTr="005A1897">
        <w:trPr>
          <w:trHeight w:val="338"/>
        </w:trPr>
        <w:tc>
          <w:tcPr>
            <w:tcW w:w="1701" w:type="dxa"/>
            <w:vAlign w:val="center"/>
          </w:tcPr>
          <w:p w:rsidR="005A1897" w:rsidRPr="00931BA3" w:rsidRDefault="005A1897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9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9EB">
              <w:rPr>
                <w:rFonts w:ascii="Arial" w:hAnsi="Arial" w:cs="Arial"/>
                <w:sz w:val="20"/>
                <w:szCs w:val="20"/>
              </w:rPr>
              <w:t>11,4%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9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A1897" w:rsidRPr="008C09EB" w:rsidRDefault="005A1897" w:rsidP="005A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9EB">
              <w:rPr>
                <w:rFonts w:ascii="Arial" w:hAnsi="Arial" w:cs="Arial"/>
                <w:sz w:val="20"/>
                <w:szCs w:val="20"/>
              </w:rPr>
              <w:t>5,7%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897" w:rsidRPr="00931BA3" w:rsidRDefault="005A1897" w:rsidP="0023025C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1897" w:rsidRPr="00931BA3" w:rsidRDefault="005A1897" w:rsidP="0023025C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29,8%</w:t>
            </w:r>
          </w:p>
        </w:tc>
      </w:tr>
    </w:tbl>
    <w:p w:rsidR="0023025C" w:rsidRDefault="0023025C" w:rsidP="00903AC5">
      <w:pPr>
        <w:jc w:val="both"/>
        <w:rPr>
          <w:b/>
          <w:bCs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80A00">
        <w:rPr>
          <w:b/>
          <w:bCs/>
        </w:rPr>
        <w:t>3</w:t>
      </w:r>
      <w:r w:rsidR="00EB7C8C">
        <w:rPr>
          <w:b/>
          <w:bCs/>
        </w:rPr>
        <w:t>. Результаты ОГЭ по АТЕ региона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7"/>
        <w:gridCol w:w="1985"/>
        <w:gridCol w:w="1134"/>
        <w:gridCol w:w="567"/>
        <w:gridCol w:w="850"/>
        <w:gridCol w:w="567"/>
        <w:gridCol w:w="851"/>
        <w:gridCol w:w="709"/>
        <w:gridCol w:w="850"/>
        <w:gridCol w:w="567"/>
        <w:gridCol w:w="851"/>
      </w:tblGrid>
      <w:tr w:rsidR="00C51483" w:rsidRPr="00C51483" w:rsidTr="00342393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134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559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«5»</w:t>
            </w:r>
          </w:p>
        </w:tc>
      </w:tr>
      <w:tr w:rsidR="00C51483" w:rsidRPr="00C51483" w:rsidTr="00342393">
        <w:trPr>
          <w:cantSplit/>
          <w:tblHeader/>
        </w:trPr>
        <w:tc>
          <w:tcPr>
            <w:tcW w:w="567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</w:tr>
      <w:tr w:rsidR="0023025C" w:rsidRPr="00C51483" w:rsidTr="00342393">
        <w:trPr>
          <w:trHeight w:val="374"/>
        </w:trPr>
        <w:tc>
          <w:tcPr>
            <w:tcW w:w="567" w:type="dxa"/>
            <w:vAlign w:val="center"/>
          </w:tcPr>
          <w:p w:rsidR="0023025C" w:rsidRPr="002178E5" w:rsidRDefault="0023025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178E5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23025C" w:rsidRPr="002178E5" w:rsidRDefault="0023025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F5BC2">
              <w:rPr>
                <w:sz w:val="22"/>
                <w:szCs w:val="22"/>
              </w:rPr>
              <w:t>г.о. Новокуйбышевск</w:t>
            </w:r>
          </w:p>
        </w:tc>
        <w:tc>
          <w:tcPr>
            <w:tcW w:w="1134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0,0%</w:t>
            </w:r>
          </w:p>
        </w:tc>
        <w:tc>
          <w:tcPr>
            <w:tcW w:w="567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40,0%</w:t>
            </w:r>
          </w:p>
        </w:tc>
        <w:tc>
          <w:tcPr>
            <w:tcW w:w="709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40,0%</w:t>
            </w:r>
          </w:p>
        </w:tc>
        <w:tc>
          <w:tcPr>
            <w:tcW w:w="567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20,0%</w:t>
            </w:r>
          </w:p>
        </w:tc>
      </w:tr>
      <w:tr w:rsidR="0023025C" w:rsidRPr="00C51483" w:rsidTr="00342393">
        <w:trPr>
          <w:trHeight w:val="419"/>
        </w:trPr>
        <w:tc>
          <w:tcPr>
            <w:tcW w:w="567" w:type="dxa"/>
            <w:vAlign w:val="center"/>
          </w:tcPr>
          <w:p w:rsidR="0023025C" w:rsidRPr="002178E5" w:rsidRDefault="0023025C" w:rsidP="00C514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23025C" w:rsidRPr="002178E5" w:rsidRDefault="0023025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F5BC2">
              <w:rPr>
                <w:sz w:val="22"/>
                <w:szCs w:val="22"/>
              </w:rPr>
              <w:t>м.р. Волжский</w:t>
            </w:r>
          </w:p>
        </w:tc>
        <w:tc>
          <w:tcPr>
            <w:tcW w:w="1134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0,0%</w:t>
            </w:r>
          </w:p>
        </w:tc>
        <w:tc>
          <w:tcPr>
            <w:tcW w:w="567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28,1%</w:t>
            </w:r>
          </w:p>
        </w:tc>
        <w:tc>
          <w:tcPr>
            <w:tcW w:w="709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37,5%</w:t>
            </w:r>
          </w:p>
        </w:tc>
        <w:tc>
          <w:tcPr>
            <w:tcW w:w="567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23025C" w:rsidRPr="0023025C" w:rsidRDefault="0023025C" w:rsidP="00C514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025C">
              <w:rPr>
                <w:rFonts w:eastAsia="Times New Roman"/>
                <w:bCs/>
                <w:sz w:val="22"/>
                <w:szCs w:val="22"/>
              </w:rPr>
              <w:t>34,4%</w:t>
            </w:r>
          </w:p>
        </w:tc>
      </w:tr>
    </w:tbl>
    <w:p w:rsidR="00022E68" w:rsidRDefault="00022E68" w:rsidP="00FE3701">
      <w:pPr>
        <w:tabs>
          <w:tab w:val="left" w:pos="709"/>
        </w:tabs>
        <w:jc w:val="both"/>
        <w:rPr>
          <w:b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</w:t>
      </w:r>
      <w:r w:rsidR="00A80A00">
        <w:rPr>
          <w:b/>
        </w:rPr>
        <w:t>4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461AC6">
        <w:rPr>
          <w:b/>
        </w:rPr>
        <w:br/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4"/>
      </w:r>
      <w:r w:rsidRPr="005F2021">
        <w:rPr>
          <w:rFonts w:eastAsia="Times New Roman"/>
          <w:b/>
        </w:rPr>
        <w:t xml:space="preserve">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956"/>
        <w:gridCol w:w="957"/>
        <w:gridCol w:w="957"/>
        <w:gridCol w:w="957"/>
        <w:gridCol w:w="1488"/>
        <w:gridCol w:w="1489"/>
      </w:tblGrid>
      <w:tr w:rsidR="00CE7779" w:rsidRPr="0058376C" w:rsidTr="002178E5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7A74B7" w:rsidRPr="002178E5" w:rsidRDefault="0079316A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Тип ОО</w:t>
            </w:r>
          </w:p>
        </w:tc>
        <w:tc>
          <w:tcPr>
            <w:tcW w:w="6804" w:type="dxa"/>
            <w:gridSpan w:val="6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Доля участников, получивших отметку</w:t>
            </w:r>
          </w:p>
        </w:tc>
      </w:tr>
      <w:tr w:rsidR="0058376C" w:rsidRPr="0058376C" w:rsidTr="002178E5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 w:rsidR="002178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8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(качество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обучения)</w:t>
            </w:r>
          </w:p>
        </w:tc>
        <w:tc>
          <w:tcPr>
            <w:tcW w:w="1489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(уровень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обученности)</w:t>
            </w:r>
          </w:p>
        </w:tc>
      </w:tr>
      <w:tr w:rsidR="005573B3" w:rsidRPr="0058376C" w:rsidTr="005573B3">
        <w:trPr>
          <w:trHeight w:val="397"/>
        </w:trPr>
        <w:tc>
          <w:tcPr>
            <w:tcW w:w="709" w:type="dxa"/>
            <w:vAlign w:val="center"/>
          </w:tcPr>
          <w:p w:rsidR="005573B3" w:rsidRPr="002178E5" w:rsidRDefault="005573B3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73B3" w:rsidRPr="002178E5" w:rsidRDefault="005573B3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ООШ</w:t>
            </w:r>
          </w:p>
        </w:tc>
        <w:tc>
          <w:tcPr>
            <w:tcW w:w="956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31E0">
              <w:rPr>
                <w:rFonts w:ascii="Times New Roman" w:eastAsia="Times New Roman" w:hAnsi="Times New Roman"/>
              </w:rPr>
              <w:t>0,0%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31E0">
              <w:rPr>
                <w:rFonts w:ascii="Times New Roman" w:eastAsia="Times New Roman" w:hAnsi="Times New Roman"/>
              </w:rPr>
              <w:t>8,5%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31E0">
              <w:rPr>
                <w:rFonts w:ascii="Times New Roman" w:eastAsia="Times New Roman" w:hAnsi="Times New Roman"/>
              </w:rPr>
              <w:t>0,0%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31E0">
              <w:rPr>
                <w:rFonts w:ascii="Times New Roman" w:eastAsia="Times New Roman" w:hAnsi="Times New Roman"/>
              </w:rPr>
              <w:t>0,0%</w:t>
            </w:r>
          </w:p>
        </w:tc>
        <w:tc>
          <w:tcPr>
            <w:tcW w:w="1488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31E0">
              <w:rPr>
                <w:rFonts w:ascii="Times New Roman" w:eastAsia="Times New Roman" w:hAnsi="Times New Roman"/>
              </w:rPr>
              <w:t>0,0%</w:t>
            </w:r>
          </w:p>
        </w:tc>
        <w:tc>
          <w:tcPr>
            <w:tcW w:w="1489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31E0">
              <w:rPr>
                <w:rFonts w:ascii="Times New Roman" w:eastAsia="Times New Roman" w:hAnsi="Times New Roman"/>
              </w:rPr>
              <w:t>8,5%</w:t>
            </w:r>
          </w:p>
        </w:tc>
      </w:tr>
      <w:tr w:rsidR="005573B3" w:rsidRPr="0058376C" w:rsidTr="005573B3">
        <w:trPr>
          <w:trHeight w:val="397"/>
        </w:trPr>
        <w:tc>
          <w:tcPr>
            <w:tcW w:w="709" w:type="dxa"/>
            <w:vAlign w:val="center"/>
          </w:tcPr>
          <w:p w:rsidR="005573B3" w:rsidRPr="002178E5" w:rsidRDefault="005573B3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73B3" w:rsidRPr="002178E5" w:rsidRDefault="005573B3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СОШ</w:t>
            </w:r>
          </w:p>
        </w:tc>
        <w:tc>
          <w:tcPr>
            <w:tcW w:w="956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0,0%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23,4%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29,8%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27,7%</w:t>
            </w:r>
          </w:p>
        </w:tc>
        <w:tc>
          <w:tcPr>
            <w:tcW w:w="1488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57,4%</w:t>
            </w:r>
          </w:p>
        </w:tc>
        <w:tc>
          <w:tcPr>
            <w:tcW w:w="1489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80,9%</w:t>
            </w:r>
          </w:p>
        </w:tc>
      </w:tr>
      <w:tr w:rsidR="005573B3" w:rsidRPr="0058376C" w:rsidTr="005573B3">
        <w:trPr>
          <w:trHeight w:val="397"/>
        </w:trPr>
        <w:tc>
          <w:tcPr>
            <w:tcW w:w="709" w:type="dxa"/>
            <w:vAlign w:val="center"/>
          </w:tcPr>
          <w:p w:rsidR="005573B3" w:rsidRPr="002178E5" w:rsidRDefault="005573B3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73B3" w:rsidRPr="002178E5" w:rsidRDefault="005573B3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461BE5">
              <w:rPr>
                <w:rFonts w:eastAsia="MS Mincho"/>
                <w:sz w:val="20"/>
                <w:szCs w:val="20"/>
              </w:rPr>
              <w:t>Школа с углубленным изучением предметов</w:t>
            </w:r>
          </w:p>
        </w:tc>
        <w:tc>
          <w:tcPr>
            <w:tcW w:w="956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0,0%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0,0%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4,3%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0,0%</w:t>
            </w:r>
          </w:p>
        </w:tc>
        <w:tc>
          <w:tcPr>
            <w:tcW w:w="1488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4,3%</w:t>
            </w:r>
          </w:p>
        </w:tc>
        <w:tc>
          <w:tcPr>
            <w:tcW w:w="1489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4,3%</w:t>
            </w:r>
          </w:p>
        </w:tc>
      </w:tr>
      <w:tr w:rsidR="005573B3" w:rsidRPr="0058376C" w:rsidTr="005573B3">
        <w:trPr>
          <w:trHeight w:val="397"/>
        </w:trPr>
        <w:tc>
          <w:tcPr>
            <w:tcW w:w="709" w:type="dxa"/>
            <w:vAlign w:val="center"/>
          </w:tcPr>
          <w:p w:rsidR="005573B3" w:rsidRPr="002178E5" w:rsidRDefault="005573B3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73B3" w:rsidRPr="002178E5" w:rsidRDefault="005573B3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Гимназия</w:t>
            </w:r>
          </w:p>
        </w:tc>
        <w:tc>
          <w:tcPr>
            <w:tcW w:w="956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0,0%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0,0%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4,3%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2,1%</w:t>
            </w:r>
          </w:p>
        </w:tc>
        <w:tc>
          <w:tcPr>
            <w:tcW w:w="1488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6,4%</w:t>
            </w:r>
          </w:p>
        </w:tc>
        <w:tc>
          <w:tcPr>
            <w:tcW w:w="1489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</w:rPr>
              <w:t>6,4%</w:t>
            </w:r>
          </w:p>
        </w:tc>
      </w:tr>
      <w:tr w:rsidR="005573B3" w:rsidRPr="0058376C" w:rsidTr="005573B3">
        <w:trPr>
          <w:trHeight w:val="397"/>
        </w:trPr>
        <w:tc>
          <w:tcPr>
            <w:tcW w:w="2694" w:type="dxa"/>
            <w:gridSpan w:val="2"/>
            <w:vAlign w:val="center"/>
          </w:tcPr>
          <w:p w:rsidR="005573B3" w:rsidRPr="002178E5" w:rsidRDefault="005573B3" w:rsidP="005837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C08">
              <w:rPr>
                <w:rFonts w:ascii="Times New Roman" w:hAnsi="Times New Roman"/>
                <w:b/>
                <w:sz w:val="24"/>
                <w:szCs w:val="24"/>
              </w:rPr>
              <w:t>Поволжское управление</w:t>
            </w:r>
          </w:p>
        </w:tc>
        <w:tc>
          <w:tcPr>
            <w:tcW w:w="956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  <w:b/>
              </w:rPr>
              <w:t>0,0%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  <w:b/>
              </w:rPr>
              <w:t>0,0%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  <w:b/>
              </w:rPr>
              <w:t>38,3%</w:t>
            </w:r>
          </w:p>
        </w:tc>
        <w:tc>
          <w:tcPr>
            <w:tcW w:w="957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  <w:b/>
              </w:rPr>
              <w:t>29,8%</w:t>
            </w:r>
          </w:p>
        </w:tc>
        <w:tc>
          <w:tcPr>
            <w:tcW w:w="1488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  <w:b/>
              </w:rPr>
              <w:t>68,1%</w:t>
            </w:r>
          </w:p>
        </w:tc>
        <w:tc>
          <w:tcPr>
            <w:tcW w:w="1489" w:type="dxa"/>
            <w:vAlign w:val="center"/>
          </w:tcPr>
          <w:p w:rsidR="005573B3" w:rsidRPr="008131E0" w:rsidRDefault="005573B3" w:rsidP="005573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31E0">
              <w:rPr>
                <w:rFonts w:ascii="Times New Roman" w:eastAsia="Times New Roman" w:hAnsi="Times New Roman"/>
                <w:b/>
              </w:rPr>
              <w:t>100,0%</w:t>
            </w:r>
          </w:p>
        </w:tc>
      </w:tr>
    </w:tbl>
    <w:p w:rsidR="00D116BF" w:rsidRDefault="00D116B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D04" w:rsidRDefault="005B52FC" w:rsidP="00D116BF">
      <w:pPr>
        <w:jc w:val="both"/>
        <w:rPr>
          <w:b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</w:t>
      </w:r>
      <w:r w:rsidR="00A80A00">
        <w:rPr>
          <w:b/>
        </w:rPr>
        <w:t>5</w:t>
      </w:r>
      <w:r w:rsidR="00BE42D2">
        <w:rPr>
          <w:b/>
        </w:rPr>
        <w:t>.</w:t>
      </w:r>
      <w:r w:rsidR="005060D9" w:rsidRPr="005F2021">
        <w:rPr>
          <w:b/>
        </w:rPr>
        <w:t xml:space="preserve"> Выделение </w:t>
      </w:r>
      <w:r w:rsidR="005060D9" w:rsidRPr="006304F0">
        <w:rPr>
          <w:b/>
        </w:rPr>
        <w:t xml:space="preserve">перечня ОО, </w:t>
      </w:r>
      <w:proofErr w:type="gramStart"/>
      <w:r w:rsidR="005060D9" w:rsidRPr="006304F0">
        <w:rPr>
          <w:b/>
        </w:rPr>
        <w:t>продемонстрировавших</w:t>
      </w:r>
      <w:proofErr w:type="gramEnd"/>
      <w:r w:rsidR="005060D9" w:rsidRPr="006304F0">
        <w:rPr>
          <w:b/>
        </w:rPr>
        <w:t xml:space="preserve">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</w:t>
      </w:r>
      <w:r w:rsidR="00F0048C">
        <w:rPr>
          <w:rStyle w:val="a6"/>
          <w:b/>
        </w:rPr>
        <w:footnoteReference w:id="5"/>
      </w:r>
    </w:p>
    <w:p w:rsidR="007A74B7" w:rsidRPr="002178E5" w:rsidRDefault="0079316A" w:rsidP="002178E5">
      <w:pPr>
        <w:ind w:firstLine="284"/>
        <w:jc w:val="both"/>
        <w:rPr>
          <w:b/>
          <w:i/>
        </w:rPr>
      </w:pPr>
      <w:r w:rsidRPr="002178E5">
        <w:rPr>
          <w:i/>
        </w:rPr>
        <w:t xml:space="preserve">Выбирается от 5 до 15% от общего числа ОО </w:t>
      </w:r>
      <w:r w:rsidR="005573B3" w:rsidRPr="002178E5">
        <w:rPr>
          <w:rFonts w:eastAsia="Times New Roman"/>
          <w:i/>
        </w:rPr>
        <w:t xml:space="preserve">в </w:t>
      </w:r>
      <w:r w:rsidR="005573B3" w:rsidRPr="00375E83">
        <w:rPr>
          <w:rFonts w:eastAsia="Times New Roman"/>
          <w:i/>
        </w:rPr>
        <w:t>Поволжском управлении</w:t>
      </w:r>
      <w:r w:rsidRPr="002178E5">
        <w:rPr>
          <w:i/>
        </w:rPr>
        <w:t xml:space="preserve">, в которых: </w:t>
      </w:r>
    </w:p>
    <w:p w:rsidR="00F921F7" w:rsidRPr="00A61E60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5573B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2178E5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5573B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="005060D9"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7"/>
        <w:tblW w:w="9498" w:type="dxa"/>
        <w:tblInd w:w="108" w:type="dxa"/>
        <w:tblLook w:val="04A0"/>
      </w:tblPr>
      <w:tblGrid>
        <w:gridCol w:w="851"/>
        <w:gridCol w:w="2410"/>
        <w:gridCol w:w="1842"/>
        <w:gridCol w:w="2268"/>
        <w:gridCol w:w="2127"/>
      </w:tblGrid>
      <w:tr w:rsidR="00BE42D2" w:rsidRPr="00DC5DDB" w:rsidTr="00B73AB7">
        <w:trPr>
          <w:cantSplit/>
          <w:tblHeader/>
        </w:trPr>
        <w:tc>
          <w:tcPr>
            <w:tcW w:w="851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842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268" w:type="dxa"/>
            <w:vAlign w:val="center"/>
          </w:tcPr>
          <w:p w:rsidR="000E0643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EB7C8C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8131E0" w:rsidRPr="00DC5DDB" w:rsidTr="00B73AB7">
        <w:trPr>
          <w:trHeight w:val="385"/>
        </w:trPr>
        <w:tc>
          <w:tcPr>
            <w:tcW w:w="851" w:type="dxa"/>
            <w:vAlign w:val="center"/>
          </w:tcPr>
          <w:p w:rsidR="008131E0" w:rsidRPr="002178E5" w:rsidRDefault="008131E0" w:rsidP="00B73AB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131E0" w:rsidRPr="002178E5" w:rsidRDefault="008131E0" w:rsidP="00813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131E0" w:rsidRPr="00CC6408" w:rsidRDefault="008131E0" w:rsidP="008131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131E0" w:rsidRDefault="008131E0" w:rsidP="008131E0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8131E0" w:rsidRPr="00CC6408" w:rsidRDefault="008131E0" w:rsidP="008131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D831A4" w:rsidRPr="00D831A4" w:rsidRDefault="00D831A4" w:rsidP="00D831A4">
      <w:pPr>
        <w:rPr>
          <w:rFonts w:eastAsia="Times New Roman"/>
        </w:rPr>
      </w:pPr>
      <w:bookmarkStart w:id="4" w:name="_Toc395183674"/>
      <w:bookmarkStart w:id="5" w:name="_Toc423954908"/>
      <w:bookmarkStart w:id="6" w:name="_Toc424490594"/>
    </w:p>
    <w:p w:rsidR="008131E0" w:rsidRPr="00F07F18" w:rsidRDefault="008131E0" w:rsidP="008131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7F18">
        <w:rPr>
          <w:rFonts w:ascii="Times New Roman" w:eastAsia="Times New Roman" w:hAnsi="Times New Roman"/>
          <w:sz w:val="24"/>
          <w:szCs w:val="24"/>
        </w:rPr>
        <w:t>Нет возможности провести анализ, т.к. количество участников в ОО Поволжского управления не достаточное для получения статистически достоверных результатов для сравнения</w:t>
      </w:r>
      <w:r w:rsidRPr="00F07F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1E0" w:rsidRDefault="008131E0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D04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2178E5" w:rsidRDefault="0079316A" w:rsidP="002178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Выбирается от 5 до 15% от общего числа ОО </w:t>
      </w:r>
      <w:r w:rsidR="005573B3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r w:rsidR="005573B3" w:rsidRP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Поволжском управлении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которых: 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5573B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5573B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701"/>
        <w:gridCol w:w="2409"/>
        <w:gridCol w:w="2268"/>
      </w:tblGrid>
      <w:tr w:rsidR="000E0643" w:rsidRPr="00DC5DDB" w:rsidTr="001918DF">
        <w:trPr>
          <w:cantSplit/>
          <w:tblHeader/>
        </w:trPr>
        <w:tc>
          <w:tcPr>
            <w:tcW w:w="709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701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Default="000E0643" w:rsidP="00191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0E0643" w:rsidRPr="002178E5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0E0643" w:rsidRPr="000E0643" w:rsidRDefault="000E0643" w:rsidP="00191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0E0643" w:rsidRPr="002178E5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0E0643">
              <w:rPr>
                <w:rFonts w:eastAsia="MS Mincho"/>
                <w:b/>
                <w:sz w:val="20"/>
                <w:szCs w:val="20"/>
              </w:rPr>
              <w:t>(</w:t>
            </w: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8131E0" w:rsidRPr="00DC5DDB" w:rsidTr="008131E0">
        <w:trPr>
          <w:trHeight w:val="451"/>
        </w:trPr>
        <w:tc>
          <w:tcPr>
            <w:tcW w:w="709" w:type="dxa"/>
            <w:vAlign w:val="center"/>
          </w:tcPr>
          <w:p w:rsidR="008131E0" w:rsidRPr="002178E5" w:rsidRDefault="008131E0" w:rsidP="001918DF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131E0" w:rsidRPr="002178E5" w:rsidRDefault="008131E0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8131E0" w:rsidRPr="00CC6408" w:rsidRDefault="008131E0" w:rsidP="008131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8131E0" w:rsidRDefault="008131E0" w:rsidP="008131E0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8131E0" w:rsidRPr="00CC6408" w:rsidRDefault="008131E0" w:rsidP="008131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bookmarkEnd w:id="4"/>
    <w:bookmarkEnd w:id="5"/>
    <w:bookmarkEnd w:id="6"/>
    <w:p w:rsidR="008131E0" w:rsidRPr="00F07F18" w:rsidRDefault="008131E0" w:rsidP="008131E0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7F18">
        <w:rPr>
          <w:rFonts w:ascii="Times New Roman" w:eastAsia="Times New Roman" w:hAnsi="Times New Roman"/>
          <w:sz w:val="24"/>
          <w:szCs w:val="24"/>
        </w:rPr>
        <w:t>Нет возможности провести анализ, т.к. количество участников в ОО Поволжского управления не достаточное для получения статистически достоверных результатов для сравнения</w:t>
      </w:r>
      <w:r w:rsidRPr="00F07F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1E0" w:rsidRDefault="008131E0" w:rsidP="001918DF">
      <w:pPr>
        <w:spacing w:line="360" w:lineRule="auto"/>
        <w:jc w:val="both"/>
        <w:rPr>
          <w:b/>
        </w:rPr>
      </w:pPr>
    </w:p>
    <w:p w:rsidR="001918DF" w:rsidRPr="008131E0" w:rsidRDefault="00BE42D2" w:rsidP="001918DF">
      <w:pPr>
        <w:spacing w:line="360" w:lineRule="auto"/>
        <w:jc w:val="both"/>
        <w:rPr>
          <w:u w:val="single"/>
        </w:rPr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DC5DDB">
        <w:rPr>
          <w:b/>
        </w:rPr>
        <w:t xml:space="preserve">2022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1918DF" w:rsidRPr="008131E0">
        <w:rPr>
          <w:u w:val="single"/>
        </w:rPr>
        <w:t xml:space="preserve">По результатам ОГЭ по </w:t>
      </w:r>
      <w:r w:rsidR="005A1897" w:rsidRPr="008131E0">
        <w:rPr>
          <w:u w:val="single"/>
        </w:rPr>
        <w:t>истории</w:t>
      </w:r>
      <w:r w:rsidR="001918DF" w:rsidRPr="008131E0">
        <w:rPr>
          <w:u w:val="single"/>
        </w:rPr>
        <w:t xml:space="preserve"> 2022 года в Поволжском управлении </w:t>
      </w:r>
      <w:r w:rsidR="005A1897" w:rsidRPr="008131E0">
        <w:rPr>
          <w:u w:val="single"/>
        </w:rPr>
        <w:t>нет</w:t>
      </w:r>
      <w:r w:rsidR="001918DF" w:rsidRPr="008131E0">
        <w:rPr>
          <w:u w:val="single"/>
        </w:rPr>
        <w:t xml:space="preserve"> участников, получивших отметку «2», </w:t>
      </w:r>
      <w:r w:rsidR="005A1897" w:rsidRPr="008131E0">
        <w:rPr>
          <w:u w:val="single"/>
        </w:rPr>
        <w:t>хотя в 2018 и 2019 году данные участники были.</w:t>
      </w:r>
      <w:r w:rsidR="001918DF" w:rsidRPr="008131E0">
        <w:rPr>
          <w:u w:val="single"/>
        </w:rPr>
        <w:t xml:space="preserve"> </w:t>
      </w:r>
      <w:r w:rsidR="005A1897" w:rsidRPr="008131E0">
        <w:rPr>
          <w:u w:val="single"/>
        </w:rPr>
        <w:t>Нет</w:t>
      </w:r>
      <w:r w:rsidR="001918DF" w:rsidRPr="008131E0">
        <w:rPr>
          <w:u w:val="single"/>
        </w:rPr>
        <w:t xml:space="preserve"> участников, получивших максимальный </w:t>
      </w:r>
      <w:r w:rsidR="005A1897" w:rsidRPr="008131E0">
        <w:rPr>
          <w:u w:val="single"/>
        </w:rPr>
        <w:t>балл</w:t>
      </w:r>
      <w:r w:rsidR="001918DF" w:rsidRPr="008131E0">
        <w:rPr>
          <w:u w:val="single"/>
        </w:rPr>
        <w:t>.</w:t>
      </w:r>
    </w:p>
    <w:p w:rsidR="001918DF" w:rsidRPr="00F97F6F" w:rsidRDefault="001918DF" w:rsidP="001918DF">
      <w:pPr>
        <w:spacing w:line="360" w:lineRule="auto"/>
        <w:jc w:val="both"/>
        <w:rPr>
          <w:b/>
        </w:rPr>
      </w:pPr>
      <w:r w:rsidRPr="008131E0">
        <w:rPr>
          <w:u w:val="single"/>
        </w:rPr>
        <w:t>В сравнении с 20</w:t>
      </w:r>
      <w:r w:rsidR="005A1897" w:rsidRPr="008131E0">
        <w:rPr>
          <w:u w:val="single"/>
        </w:rPr>
        <w:t>19</w:t>
      </w:r>
      <w:r w:rsidRPr="008131E0">
        <w:rPr>
          <w:u w:val="single"/>
        </w:rPr>
        <w:t xml:space="preserve"> годом повысилось качество обученности по </w:t>
      </w:r>
      <w:r w:rsidR="005A1897" w:rsidRPr="008131E0">
        <w:rPr>
          <w:u w:val="single"/>
        </w:rPr>
        <w:t>истории</w:t>
      </w:r>
      <w:r w:rsidRPr="008131E0">
        <w:rPr>
          <w:u w:val="single"/>
        </w:rPr>
        <w:t xml:space="preserve">  выпускников 9 классов Поволжского управления на </w:t>
      </w:r>
      <w:r w:rsidR="005A1897" w:rsidRPr="008131E0">
        <w:rPr>
          <w:u w:val="single"/>
        </w:rPr>
        <w:t>16,7</w:t>
      </w:r>
      <w:r w:rsidRPr="008131E0">
        <w:rPr>
          <w:u w:val="single"/>
        </w:rPr>
        <w:t>% (20</w:t>
      </w:r>
      <w:r w:rsidR="005A1897" w:rsidRPr="008131E0">
        <w:rPr>
          <w:u w:val="single"/>
        </w:rPr>
        <w:t>19</w:t>
      </w:r>
      <w:r w:rsidRPr="008131E0">
        <w:rPr>
          <w:u w:val="single"/>
        </w:rPr>
        <w:t xml:space="preserve">г.- </w:t>
      </w:r>
      <w:r w:rsidR="005A1897" w:rsidRPr="008131E0">
        <w:rPr>
          <w:u w:val="single"/>
        </w:rPr>
        <w:t>51,4%</w:t>
      </w:r>
      <w:r w:rsidRPr="008131E0">
        <w:rPr>
          <w:rFonts w:eastAsia="Times New Roman"/>
          <w:u w:val="single"/>
        </w:rPr>
        <w:t xml:space="preserve">) и уровень обученности </w:t>
      </w:r>
      <w:r w:rsidRPr="008131E0">
        <w:rPr>
          <w:u w:val="single"/>
        </w:rPr>
        <w:t xml:space="preserve">на </w:t>
      </w:r>
      <w:r w:rsidR="005A1897" w:rsidRPr="008131E0">
        <w:rPr>
          <w:u w:val="single"/>
        </w:rPr>
        <w:t>2</w:t>
      </w:r>
      <w:r w:rsidRPr="008131E0">
        <w:rPr>
          <w:u w:val="single"/>
        </w:rPr>
        <w:t>,</w:t>
      </w:r>
      <w:r w:rsidR="005A1897" w:rsidRPr="008131E0">
        <w:rPr>
          <w:u w:val="single"/>
        </w:rPr>
        <w:t>9</w:t>
      </w:r>
      <w:r w:rsidRPr="008131E0">
        <w:rPr>
          <w:u w:val="single"/>
        </w:rPr>
        <w:t>% (20</w:t>
      </w:r>
      <w:r w:rsidR="005A1897" w:rsidRPr="008131E0">
        <w:rPr>
          <w:u w:val="single"/>
        </w:rPr>
        <w:t>19</w:t>
      </w:r>
      <w:r w:rsidRPr="008131E0">
        <w:rPr>
          <w:u w:val="single"/>
        </w:rPr>
        <w:t xml:space="preserve">г.- </w:t>
      </w:r>
      <w:r w:rsidR="005A1897" w:rsidRPr="008131E0">
        <w:rPr>
          <w:rFonts w:eastAsia="Times New Roman"/>
          <w:u w:val="single"/>
        </w:rPr>
        <w:t>97,1</w:t>
      </w:r>
      <w:r w:rsidRPr="008131E0">
        <w:rPr>
          <w:rFonts w:eastAsia="Times New Roman"/>
          <w:u w:val="single"/>
        </w:rPr>
        <w:t>%).</w:t>
      </w: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C5DDB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6805C0" w:rsidRDefault="006805C0" w:rsidP="00EB7C8C">
      <w:pPr>
        <w:jc w:val="both"/>
      </w:pPr>
    </w:p>
    <w:p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>с указанием средних процентов выполнения по каждой линии заданий в регионе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5000" w:type="pct"/>
        <w:tblInd w:w="-176" w:type="dxa"/>
        <w:tblLayout w:type="fixed"/>
        <w:tblLook w:val="0000"/>
      </w:tblPr>
      <w:tblGrid>
        <w:gridCol w:w="1110"/>
        <w:gridCol w:w="2008"/>
        <w:gridCol w:w="1039"/>
        <w:gridCol w:w="1407"/>
        <w:gridCol w:w="1070"/>
        <w:gridCol w:w="1074"/>
        <w:gridCol w:w="1070"/>
        <w:gridCol w:w="1076"/>
      </w:tblGrid>
      <w:tr w:rsidR="00A34126" w:rsidRPr="00846D04" w:rsidTr="002655CA">
        <w:trPr>
          <w:cantSplit/>
          <w:trHeight w:val="649"/>
          <w:tblHeader/>
        </w:trPr>
        <w:tc>
          <w:tcPr>
            <w:tcW w:w="56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5C0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:rsidR="00A34126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="00846D04" w:rsidRPr="002178E5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2178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178E5">
              <w:rPr>
                <w:b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01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52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34126" w:rsidRPr="002178E5" w:rsidRDefault="0079316A" w:rsidP="00903A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2178E5">
              <w:rPr>
                <w:rStyle w:val="a6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17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4B7" w:rsidRPr="002178E5" w:rsidRDefault="0079316A" w:rsidP="002178E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sz w:val="20"/>
                <w:szCs w:val="20"/>
              </w:rPr>
              <w:t xml:space="preserve">Процент </w:t>
            </w:r>
            <w:r w:rsidR="002178E5">
              <w:rPr>
                <w:b/>
                <w:sz w:val="20"/>
                <w:szCs w:val="20"/>
              </w:rPr>
              <w:t>в</w:t>
            </w:r>
            <w:r w:rsidRPr="002178E5">
              <w:rPr>
                <w:b/>
                <w:sz w:val="20"/>
                <w:szCs w:val="20"/>
              </w:rPr>
              <w:t>ыполнения</w:t>
            </w:r>
            <w:proofErr w:type="gramStart"/>
            <w:r w:rsidR="0094050C" w:rsidRPr="002178E5">
              <w:rPr>
                <w:b/>
                <w:sz w:val="20"/>
                <w:szCs w:val="20"/>
                <w:vertAlign w:val="superscript"/>
              </w:rPr>
              <w:t>6</w:t>
            </w:r>
            <w:proofErr w:type="gramEnd"/>
            <w:r w:rsidRPr="002178E5">
              <w:rPr>
                <w:b/>
                <w:sz w:val="20"/>
                <w:szCs w:val="20"/>
              </w:rPr>
              <w:t xml:space="preserve"> по региону в группах, </w:t>
            </w:r>
            <w:r w:rsidRPr="002178E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A34126" w:rsidRPr="00846D04" w:rsidTr="002655CA">
        <w:trPr>
          <w:cantSplit/>
          <w:trHeight w:val="481"/>
          <w:tblHeader/>
        </w:trPr>
        <w:tc>
          <w:tcPr>
            <w:tcW w:w="56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2178E5" w:rsidRDefault="00A34126" w:rsidP="00D11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727C8E" w:rsidRPr="00846D04" w:rsidTr="00727C8E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C8E" w:rsidRPr="002178E5" w:rsidRDefault="00727C8E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C8E" w:rsidRPr="002655CA" w:rsidRDefault="00727C8E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2655CA">
              <w:rPr>
                <w:rFonts w:eastAsia="TimesNewRoman"/>
                <w:sz w:val="20"/>
                <w:szCs w:val="20"/>
                <w:lang w:eastAsia="en-US"/>
              </w:rPr>
              <w:t>История России</w:t>
            </w:r>
          </w:p>
          <w:p w:rsidR="00727C8E" w:rsidRPr="002655CA" w:rsidRDefault="00727C8E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2655CA">
              <w:rPr>
                <w:rFonts w:eastAsia="TimesNewRoman"/>
                <w:sz w:val="20"/>
                <w:szCs w:val="20"/>
                <w:lang w:eastAsia="en-US"/>
              </w:rPr>
              <w:t>с древнейших времён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2655CA">
              <w:rPr>
                <w:rFonts w:eastAsia="TimesNewRoman"/>
                <w:sz w:val="20"/>
                <w:szCs w:val="20"/>
                <w:lang w:eastAsia="en-US"/>
              </w:rPr>
              <w:t>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>
              <w:rPr>
                <w:rFonts w:ascii="TimesNewRoman" w:eastAsia="TimesNewRoman" w:hAnsiTheme="minorHAnsi" w:cs="TimesNewRoman" w:hint="eastAsia"/>
                <w:sz w:val="22"/>
                <w:szCs w:val="22"/>
                <w:lang w:eastAsia="en-US"/>
              </w:rPr>
              <w:t xml:space="preserve"> </w:t>
            </w:r>
            <w:r w:rsidRPr="002655CA">
              <w:rPr>
                <w:rFonts w:eastAsia="TimesNewRoman"/>
                <w:sz w:val="20"/>
                <w:szCs w:val="20"/>
                <w:lang w:eastAsia="en-US"/>
              </w:rPr>
              <w:t>Знание основных дат, этапов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2655CA">
              <w:rPr>
                <w:rFonts w:eastAsia="TimesNewRoman"/>
                <w:sz w:val="20"/>
                <w:szCs w:val="20"/>
                <w:lang w:eastAsia="en-US"/>
              </w:rPr>
              <w:t>и ключевых событий истории России</w:t>
            </w:r>
          </w:p>
          <w:p w:rsidR="00727C8E" w:rsidRPr="002655CA" w:rsidRDefault="00727C8E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2655CA">
              <w:rPr>
                <w:rFonts w:eastAsia="TimesNewRoman"/>
                <w:sz w:val="20"/>
                <w:szCs w:val="20"/>
                <w:lang w:eastAsia="en-US"/>
              </w:rPr>
              <w:t>и мира с древности до 1914 г.,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2655CA">
              <w:rPr>
                <w:rFonts w:eastAsia="TimesNewRoman"/>
                <w:sz w:val="20"/>
                <w:szCs w:val="20"/>
                <w:lang w:eastAsia="en-US"/>
              </w:rPr>
              <w:t>выдающихся деятелей отечественной</w:t>
            </w:r>
          </w:p>
          <w:p w:rsidR="00727C8E" w:rsidRPr="00177124" w:rsidRDefault="00727C8E" w:rsidP="00727C8E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6"/>
                <w:szCs w:val="26"/>
                <w:lang w:eastAsia="en-US"/>
              </w:rPr>
            </w:pPr>
            <w:r w:rsidRPr="002655CA">
              <w:rPr>
                <w:rFonts w:eastAsia="TimesNewRoman"/>
                <w:sz w:val="20"/>
                <w:szCs w:val="20"/>
                <w:lang w:eastAsia="en-US"/>
              </w:rPr>
              <w:t>и всеобщей истории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C8E" w:rsidRPr="002178E5" w:rsidRDefault="00727C8E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C8E" w:rsidRPr="002178E5" w:rsidRDefault="00727C8E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80,9%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C8E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C8E" w:rsidRPr="002178E5" w:rsidRDefault="00727C8E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7C8E" w:rsidRPr="002178E5" w:rsidRDefault="00727C8E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7C8E" w:rsidRPr="002178E5" w:rsidRDefault="00727C8E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92,9%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655CA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2655CA">
              <w:rPr>
                <w:rFonts w:eastAsia="TimesNewRoman"/>
                <w:sz w:val="20"/>
                <w:szCs w:val="20"/>
                <w:lang w:eastAsia="en-US"/>
              </w:rPr>
              <w:t>История России</w:t>
            </w:r>
          </w:p>
          <w:p w:rsidR="008131E0" w:rsidRPr="000A7923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2655CA">
              <w:rPr>
                <w:rFonts w:eastAsia="TimesNewRoman"/>
                <w:sz w:val="20"/>
                <w:szCs w:val="20"/>
                <w:lang w:eastAsia="en-US"/>
              </w:rPr>
              <w:t>с древнейших времён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2655CA">
              <w:rPr>
                <w:rFonts w:eastAsia="TimesNewRoman"/>
                <w:sz w:val="20"/>
                <w:szCs w:val="20"/>
                <w:lang w:eastAsia="en-US"/>
              </w:rPr>
              <w:t>до 1914 г</w:t>
            </w:r>
            <w:r w:rsidRPr="000A7923">
              <w:rPr>
                <w:rFonts w:eastAsia="TimesNewRoman"/>
                <w:sz w:val="20"/>
                <w:szCs w:val="20"/>
                <w:lang w:eastAsia="en-US"/>
              </w:rPr>
              <w:t>./ Определение последовательности</w:t>
            </w:r>
          </w:p>
          <w:p w:rsidR="008131E0" w:rsidRPr="000A7923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0A7923">
              <w:rPr>
                <w:rFonts w:eastAsia="TimesNewRoman"/>
                <w:sz w:val="20"/>
                <w:szCs w:val="20"/>
                <w:lang w:eastAsia="en-US"/>
              </w:rPr>
              <w:t>и длительности важнейших событий</w:t>
            </w:r>
          </w:p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923">
              <w:rPr>
                <w:rFonts w:eastAsia="TimesNewRoman"/>
                <w:sz w:val="20"/>
                <w:szCs w:val="20"/>
                <w:lang w:eastAsia="en-US"/>
              </w:rPr>
              <w:t>отечественной и всеобщей истории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29,8%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27,8%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42,9%</w:t>
            </w:r>
          </w:p>
        </w:tc>
      </w:tr>
      <w:tr w:rsidR="008131E0" w:rsidRPr="00846D04" w:rsidTr="008131E0">
        <w:trPr>
          <w:trHeight w:val="81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655CA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2655CA">
              <w:rPr>
                <w:rFonts w:eastAsia="TimesNewRoman"/>
                <w:sz w:val="20"/>
                <w:szCs w:val="20"/>
                <w:lang w:eastAsia="en-US"/>
              </w:rPr>
              <w:t>История России</w:t>
            </w:r>
          </w:p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A">
              <w:rPr>
                <w:rFonts w:eastAsia="TimesNewRoman"/>
                <w:sz w:val="20"/>
                <w:szCs w:val="20"/>
                <w:lang w:eastAsia="en-US"/>
              </w:rPr>
              <w:t>с древнейших времён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2655CA">
              <w:rPr>
                <w:rFonts w:eastAsia="TimesNewRoman"/>
                <w:sz w:val="20"/>
                <w:szCs w:val="20"/>
                <w:lang w:eastAsia="en-US"/>
              </w:rPr>
              <w:t>до 1914 г</w:t>
            </w:r>
            <w:r w:rsidRPr="000A7923">
              <w:rPr>
                <w:rFonts w:eastAsia="TimesNewRoman"/>
                <w:sz w:val="20"/>
                <w:szCs w:val="20"/>
                <w:lang w:eastAsia="en-US"/>
              </w:rPr>
              <w:t>./ Объяснение смысла изученных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0A7923">
              <w:rPr>
                <w:rFonts w:eastAsia="TimesNewRoman"/>
                <w:sz w:val="20"/>
                <w:szCs w:val="20"/>
                <w:lang w:eastAsia="en-US"/>
              </w:rPr>
              <w:t>исторических понятий и терминов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85,1%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88,9%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655CA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2655CA">
              <w:rPr>
                <w:rFonts w:eastAsia="TimesNewRoman"/>
                <w:sz w:val="20"/>
                <w:szCs w:val="20"/>
                <w:lang w:eastAsia="en-US"/>
              </w:rPr>
              <w:t>История России</w:t>
            </w:r>
          </w:p>
          <w:p w:rsidR="008131E0" w:rsidRPr="000A7923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2655CA">
              <w:rPr>
                <w:rFonts w:eastAsia="TimesNewRoman"/>
                <w:sz w:val="20"/>
                <w:szCs w:val="20"/>
                <w:lang w:eastAsia="en-US"/>
              </w:rPr>
              <w:t>с древнейших времён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2655CA">
              <w:rPr>
                <w:rFonts w:eastAsia="TimesNewRoman"/>
                <w:sz w:val="20"/>
                <w:szCs w:val="20"/>
                <w:lang w:eastAsia="en-US"/>
              </w:rPr>
              <w:t>до 1914 г</w:t>
            </w:r>
            <w:r w:rsidRPr="000A7923">
              <w:rPr>
                <w:rFonts w:eastAsia="TimesNewRoman"/>
                <w:sz w:val="20"/>
                <w:szCs w:val="20"/>
                <w:lang w:eastAsia="en-US"/>
              </w:rPr>
              <w:t xml:space="preserve">./ </w:t>
            </w:r>
            <w:r w:rsidRPr="000A7923">
              <w:rPr>
                <w:rFonts w:eastAsia="TimesNewRoman"/>
                <w:sz w:val="20"/>
                <w:szCs w:val="20"/>
                <w:lang w:eastAsia="en-US"/>
              </w:rPr>
              <w:lastRenderedPageBreak/>
              <w:t>Знание основных дат, этапов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0A7923">
              <w:rPr>
                <w:rFonts w:eastAsia="TimesNewRoman"/>
                <w:sz w:val="20"/>
                <w:szCs w:val="20"/>
                <w:lang w:eastAsia="en-US"/>
              </w:rPr>
              <w:t>и ключевых событий истории России</w:t>
            </w:r>
          </w:p>
          <w:p w:rsidR="008131E0" w:rsidRPr="000A7923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0A7923">
              <w:rPr>
                <w:rFonts w:eastAsia="TimesNewRoman"/>
                <w:sz w:val="20"/>
                <w:szCs w:val="20"/>
                <w:lang w:eastAsia="en-US"/>
              </w:rPr>
              <w:t>и мира с древности до 1914 г.,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0A7923">
              <w:rPr>
                <w:rFonts w:eastAsia="TimesNewRoman"/>
                <w:sz w:val="20"/>
                <w:szCs w:val="20"/>
                <w:lang w:eastAsia="en-US"/>
              </w:rPr>
              <w:t>выдающихся деятелей отечественной</w:t>
            </w:r>
          </w:p>
          <w:p w:rsidR="008131E0" w:rsidRPr="000A7923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proofErr w:type="gramStart"/>
            <w:r w:rsidRPr="000A7923">
              <w:rPr>
                <w:rFonts w:eastAsia="TimesNewRoman"/>
                <w:sz w:val="20"/>
                <w:szCs w:val="20"/>
                <w:lang w:eastAsia="en-US"/>
              </w:rPr>
              <w:t>и всеобщей истории (множественный</w:t>
            </w:r>
            <w:proofErr w:type="gramEnd"/>
          </w:p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923">
              <w:rPr>
                <w:rFonts w:eastAsia="TimesNewRoman"/>
                <w:sz w:val="20"/>
                <w:szCs w:val="20"/>
                <w:lang w:eastAsia="en-US"/>
              </w:rPr>
              <w:t>выбор)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78,7%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77,8%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655CA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2655CA">
              <w:rPr>
                <w:rFonts w:eastAsia="TimesNewRoman"/>
                <w:sz w:val="20"/>
                <w:szCs w:val="20"/>
                <w:lang w:eastAsia="en-US"/>
              </w:rPr>
              <w:t>История России</w:t>
            </w:r>
          </w:p>
          <w:p w:rsidR="008131E0" w:rsidRPr="000A7923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2655CA">
              <w:rPr>
                <w:rFonts w:eastAsia="TimesNewRoman"/>
                <w:sz w:val="20"/>
                <w:szCs w:val="20"/>
                <w:lang w:eastAsia="en-US"/>
              </w:rPr>
              <w:t>с древнейших времён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2655CA">
              <w:rPr>
                <w:rFonts w:eastAsia="TimesNewRoman"/>
                <w:sz w:val="20"/>
                <w:szCs w:val="20"/>
                <w:lang w:eastAsia="en-US"/>
              </w:rPr>
              <w:t>до 1914 г</w:t>
            </w:r>
            <w:r w:rsidRPr="000A7923">
              <w:rPr>
                <w:rFonts w:eastAsia="TimesNewRoman"/>
                <w:sz w:val="20"/>
                <w:szCs w:val="20"/>
                <w:lang w:eastAsia="en-US"/>
              </w:rPr>
              <w:t>./</w:t>
            </w:r>
            <w:r>
              <w:rPr>
                <w:rFonts w:ascii="TimesNewRoman" w:eastAsia="TimesNewRoman" w:hAnsiTheme="minorHAnsi" w:cs="TimesNewRoman" w:hint="eastAsia"/>
                <w:sz w:val="22"/>
                <w:szCs w:val="22"/>
                <w:lang w:eastAsia="en-US"/>
              </w:rPr>
              <w:t xml:space="preserve"> </w:t>
            </w:r>
            <w:r w:rsidRPr="000A7923">
              <w:rPr>
                <w:rFonts w:eastAsia="TimesNewRoman"/>
                <w:sz w:val="20"/>
                <w:szCs w:val="20"/>
                <w:lang w:eastAsia="en-US"/>
              </w:rPr>
              <w:t>Объяснение смысла изученных</w:t>
            </w:r>
          </w:p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923">
              <w:rPr>
                <w:rFonts w:eastAsia="TimesNewRoman"/>
                <w:sz w:val="20"/>
                <w:szCs w:val="20"/>
                <w:lang w:eastAsia="en-US"/>
              </w:rPr>
              <w:t>исторических понятий и терминов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59,6%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72,2%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85,7%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655CA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2655CA">
              <w:rPr>
                <w:rFonts w:eastAsia="TimesNewRoman"/>
                <w:sz w:val="20"/>
                <w:szCs w:val="20"/>
                <w:lang w:eastAsia="en-US"/>
              </w:rPr>
              <w:t>История России</w:t>
            </w:r>
          </w:p>
          <w:p w:rsidR="008131E0" w:rsidRPr="000A7923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2655CA">
              <w:rPr>
                <w:rFonts w:eastAsia="TimesNewRoman"/>
                <w:sz w:val="20"/>
                <w:szCs w:val="20"/>
                <w:lang w:eastAsia="en-US"/>
              </w:rPr>
              <w:t>с древнейших времён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2655CA">
              <w:rPr>
                <w:rFonts w:eastAsia="TimesNewRoman"/>
                <w:sz w:val="20"/>
                <w:szCs w:val="20"/>
                <w:lang w:eastAsia="en-US"/>
              </w:rPr>
              <w:t>до 1914 г</w:t>
            </w:r>
            <w:r w:rsidRPr="000A7923">
              <w:rPr>
                <w:rFonts w:eastAsia="TimesNewRoman"/>
                <w:sz w:val="20"/>
                <w:szCs w:val="20"/>
                <w:lang w:eastAsia="en-US"/>
              </w:rPr>
              <w:t>./</w:t>
            </w:r>
            <w:r>
              <w:rPr>
                <w:rFonts w:ascii="TimesNewRoman" w:eastAsia="TimesNewRoman" w:hAnsiTheme="minorHAnsi" w:cs="TimesNewRoman" w:hint="eastAsia"/>
                <w:sz w:val="22"/>
                <w:szCs w:val="22"/>
                <w:lang w:eastAsia="en-US"/>
              </w:rPr>
              <w:t xml:space="preserve"> </w:t>
            </w:r>
            <w:r w:rsidRPr="000A7923">
              <w:rPr>
                <w:rFonts w:eastAsia="TimesNewRoman"/>
                <w:sz w:val="20"/>
                <w:szCs w:val="20"/>
                <w:lang w:eastAsia="en-US"/>
              </w:rPr>
              <w:t>Умение</w:t>
            </w:r>
            <w:r>
              <w:rPr>
                <w:rFonts w:ascii="TimesNewRoman" w:eastAsia="TimesNewRoman" w:hAnsiTheme="minorHAnsi" w:cs="TimesNewRoman"/>
                <w:sz w:val="22"/>
                <w:szCs w:val="22"/>
                <w:lang w:eastAsia="en-US"/>
              </w:rPr>
              <w:t xml:space="preserve"> </w:t>
            </w:r>
            <w:r w:rsidRPr="000A7923">
              <w:rPr>
                <w:rFonts w:eastAsia="TimesNewRoman"/>
                <w:sz w:val="20"/>
                <w:szCs w:val="20"/>
                <w:lang w:eastAsia="en-US"/>
              </w:rPr>
              <w:t>группировать исторические</w:t>
            </w:r>
          </w:p>
          <w:p w:rsidR="008131E0" w:rsidRPr="000A7923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0A7923">
              <w:rPr>
                <w:rFonts w:eastAsia="TimesNewRoman"/>
                <w:sz w:val="20"/>
                <w:szCs w:val="20"/>
                <w:lang w:eastAsia="en-US"/>
              </w:rPr>
              <w:t xml:space="preserve">явления и события по </w:t>
            </w:r>
            <w:proofErr w:type="gramStart"/>
            <w:r w:rsidRPr="000A7923">
              <w:rPr>
                <w:rFonts w:eastAsia="TimesNewRoman"/>
                <w:sz w:val="20"/>
                <w:szCs w:val="20"/>
                <w:lang w:eastAsia="en-US"/>
              </w:rPr>
              <w:t>заданному</w:t>
            </w:r>
            <w:proofErr w:type="gramEnd"/>
          </w:p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923">
              <w:rPr>
                <w:rFonts w:eastAsia="TimesNewRoman"/>
                <w:sz w:val="20"/>
                <w:szCs w:val="20"/>
                <w:lang w:eastAsia="en-US"/>
              </w:rPr>
              <w:t>признаку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72,3%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46,7%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88,9%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78,6%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0A7923">
              <w:rPr>
                <w:rFonts w:eastAsia="TimesNewRoman"/>
                <w:sz w:val="20"/>
                <w:szCs w:val="20"/>
                <w:lang w:eastAsia="en-US"/>
              </w:rPr>
              <w:t>XVIII – начало ХХ в.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Использование данных различных исторических и современных источников (текста; </w:t>
            </w:r>
            <w:proofErr w:type="spell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схем</w:t>
            </w:r>
            <w:proofErr w:type="gram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;и</w:t>
            </w:r>
            <w:proofErr w:type="gram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ллюстративного</w:t>
            </w:r>
            <w:proofErr w:type="spell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, статистического материала) при ответе на вопросы, решении различных учебных задач;</w:t>
            </w:r>
          </w:p>
          <w:p w:rsidR="008131E0" w:rsidRPr="000A7923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сравнение свидетельств разных источников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87,2%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80,0%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85,7%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Один из периодов</w:t>
            </w:r>
          </w:p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истории России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 древнейших времён 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Работа с исторической картой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76,6%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72,2%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92,9%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Один из периодов</w:t>
            </w:r>
          </w:p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истории России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 древнейших времён 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Работа с исторической картой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72,3%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33,3%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Один из периодов</w:t>
            </w:r>
          </w:p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истории России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 древнейших времён 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Работа с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lastRenderedPageBreak/>
              <w:t>исторической картой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771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78,7%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77,8%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Один из периодов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истории России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 древнейших времён 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Использование данных различных исторических и современных источников (текста; </w:t>
            </w:r>
            <w:proofErr w:type="spell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схем</w:t>
            </w:r>
            <w:proofErr w:type="gram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;и</w:t>
            </w:r>
            <w:proofErr w:type="gram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ллюстративного</w:t>
            </w:r>
            <w:proofErr w:type="spell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, статистического материала) при ответе на вопросы, решении различных учебных задач;</w:t>
            </w:r>
          </w:p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сравнение свидетельств разных источников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51,1%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46,7%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44,4%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64,3%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Один из периодов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истории России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 древнейших времён 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 Использование данных различных исторических и современных источников (текста; </w:t>
            </w:r>
            <w:proofErr w:type="spell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схем</w:t>
            </w:r>
            <w:proofErr w:type="gram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;и</w:t>
            </w:r>
            <w:proofErr w:type="gram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ллюстративного</w:t>
            </w:r>
            <w:proofErr w:type="spell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, статистического материала) при ответе на вопросы, решении различных учебных задач;</w:t>
            </w:r>
          </w:p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сравнение свидетельств разных источников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87,2%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80,0%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Знание фактов</w:t>
            </w:r>
          </w:p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истории культуры </w:t>
            </w:r>
            <w:proofErr w:type="gram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с</w:t>
            </w:r>
            <w:proofErr w:type="gramEnd"/>
          </w:p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древнейших времён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 Использование данных различных исторических и современных источников (текста; </w:t>
            </w:r>
            <w:proofErr w:type="spell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схем</w:t>
            </w:r>
            <w:proofErr w:type="gram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;и</w:t>
            </w:r>
            <w:proofErr w:type="gram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ллюстративного</w:t>
            </w:r>
            <w:proofErr w:type="spell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, статистического материала) при ответе на вопросы, решении различных учебных задач;</w:t>
            </w:r>
          </w:p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сравнение свидетельств разных источников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68,1%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53,3%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85,7%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Знание фактов</w:t>
            </w:r>
          </w:p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истории культуры с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древнейших времён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lastRenderedPageBreak/>
              <w:t>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 Использование данных различных исторических и современных источников (текста; </w:t>
            </w:r>
            <w:proofErr w:type="spell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схем</w:t>
            </w:r>
            <w:proofErr w:type="gram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;и</w:t>
            </w:r>
            <w:proofErr w:type="gram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ллюстративного</w:t>
            </w:r>
            <w:proofErr w:type="spell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, статистического материала) при ответе на вопросы, решении различных учебных задач;</w:t>
            </w:r>
          </w:p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сравнение свидетельств разных источников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63,8%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40,0%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85,7%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История 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з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арубежных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стран. Древний мир,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Средние века, Новое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время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 w:rsidRPr="00727C8E">
              <w:rPr>
                <w:rFonts w:eastAsia="TimesNewRoman"/>
                <w:sz w:val="20"/>
                <w:szCs w:val="20"/>
                <w:lang w:eastAsia="en-US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55,3%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53,3%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72,2%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35,7%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История 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з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арубежных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стран. Древний мир,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Средние века, Новое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время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 w:rsidRPr="00727C8E">
              <w:rPr>
                <w:rFonts w:eastAsia="TimesNewRoman"/>
                <w:sz w:val="20"/>
                <w:szCs w:val="20"/>
                <w:lang w:eastAsia="en-US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59,6%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46,7%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72,2%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57,1%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История 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з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арубежных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стран. Древний мир,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Средние века, Новое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время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Использование данных различных исторических и современных источников (текста; </w:t>
            </w:r>
            <w:proofErr w:type="spell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схем</w:t>
            </w:r>
            <w:proofErr w:type="gram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;и</w:t>
            </w:r>
            <w:proofErr w:type="gram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ллюстративного</w:t>
            </w:r>
            <w:proofErr w:type="spell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, статистического материала) при ответе на вопросы, решении различных учебных задач;</w:t>
            </w:r>
          </w:p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сравнение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lastRenderedPageBreak/>
              <w:t>свидетельств разных источников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74,5%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88,9%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71,4%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Один из периодов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истории России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 древнейших времён 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 Использование данных различных исторических и современных источников (текста; </w:t>
            </w:r>
            <w:proofErr w:type="spell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схем</w:t>
            </w:r>
            <w:proofErr w:type="gram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;и</w:t>
            </w:r>
            <w:proofErr w:type="gram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ллюстративного</w:t>
            </w:r>
            <w:proofErr w:type="spell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, статистического материала) при ответе на вопросы, решении различных учебных задач;</w:t>
            </w:r>
          </w:p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сравнение свидетельств разных источников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64,9%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33,3%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96,4%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Один из периодов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истории России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 древнейших времён 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 Использование данных различных исторических и современных источников (текста; </w:t>
            </w:r>
            <w:proofErr w:type="spell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схем</w:t>
            </w:r>
            <w:proofErr w:type="gram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;и</w:t>
            </w:r>
            <w:proofErr w:type="gram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ллюстративного</w:t>
            </w:r>
            <w:proofErr w:type="spell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, статистического материала) при ответе на вопросы, решении различных учебных задач;</w:t>
            </w:r>
          </w:p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сравнение свидетельств разных источников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93,6%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83,3%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96,4%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Один из периодов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истории России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 древнейших времён 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 Использование данных различных исторических и современных источников (текста; </w:t>
            </w:r>
            <w:proofErr w:type="spell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схем</w:t>
            </w:r>
            <w:proofErr w:type="gram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;и</w:t>
            </w:r>
            <w:proofErr w:type="gram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ллюстративного</w:t>
            </w:r>
            <w:proofErr w:type="spell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, статистического материала) при ответе на вопросы, решении различных учебных задач;</w:t>
            </w:r>
          </w:p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сравнение свидетельств разных источников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45,7%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16,7%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36,1%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89,3%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Один из периодов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истории России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с древнейших времён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lastRenderedPageBreak/>
              <w:t>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>
              <w:t xml:space="preserve"> </w:t>
            </w:r>
            <w:r w:rsidRPr="00727C8E">
              <w:rPr>
                <w:rFonts w:eastAsia="TimesNewRoman"/>
                <w:sz w:val="20"/>
                <w:szCs w:val="20"/>
                <w:lang w:eastAsia="en-US"/>
              </w:rPr>
              <w:t>Определение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727C8E">
              <w:rPr>
                <w:rFonts w:eastAsia="TimesNewRoman"/>
                <w:sz w:val="20"/>
                <w:szCs w:val="20"/>
                <w:lang w:eastAsia="en-US"/>
              </w:rPr>
              <w:t>причин и следствия важнейших исторических событий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771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42,6%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26,7%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Один из периодов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истории России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 древнейших времён 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 xml:space="preserve"> Использование данных различных исторических и современных источников (текста; </w:t>
            </w:r>
            <w:proofErr w:type="spell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схем</w:t>
            </w:r>
            <w:proofErr w:type="gramStart"/>
            <w:r w:rsidRPr="00F769B4">
              <w:rPr>
                <w:rFonts w:eastAsia="TimesNewRoman"/>
                <w:sz w:val="20"/>
                <w:szCs w:val="20"/>
                <w:lang w:eastAsia="en-US"/>
              </w:rPr>
              <w:t>;и</w:t>
            </w:r>
            <w:proofErr w:type="gram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ллюстративного</w:t>
            </w:r>
            <w:proofErr w:type="spellEnd"/>
            <w:r w:rsidRPr="00F769B4">
              <w:rPr>
                <w:rFonts w:eastAsia="TimesNewRoman"/>
                <w:sz w:val="20"/>
                <w:szCs w:val="20"/>
                <w:lang w:eastAsia="en-US"/>
              </w:rPr>
              <w:t>, статистического материала) при ответе на вопросы, решении различных учебных задач;</w:t>
            </w:r>
          </w:p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сравнение свидетельств разных источников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51,1%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11,1%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48,1%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97,6%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0B08E1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F769B4" w:rsidRDefault="008131E0" w:rsidP="00727C8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История России</w:t>
            </w:r>
          </w:p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 древнейших времён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>
              <w:t xml:space="preserve"> </w:t>
            </w:r>
            <w:r w:rsidRPr="00727C8E">
              <w:rPr>
                <w:rFonts w:eastAsia="TimesNewRoman"/>
                <w:sz w:val="20"/>
                <w:szCs w:val="20"/>
                <w:lang w:eastAsia="en-US"/>
              </w:rPr>
              <w:t>Выявление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727C8E">
              <w:rPr>
                <w:rFonts w:eastAsia="TimesNewRoman"/>
                <w:sz w:val="20"/>
                <w:szCs w:val="20"/>
                <w:lang w:eastAsia="en-US"/>
              </w:rPr>
              <w:t>общности и различия сравниваемых исторических событий и явлений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43,6%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44,4%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75,0%</w:t>
            </w:r>
          </w:p>
        </w:tc>
      </w:tr>
      <w:tr w:rsidR="008131E0" w:rsidRPr="00846D04" w:rsidTr="008131E0">
        <w:trPr>
          <w:trHeight w:val="226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0B08E1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9B4">
              <w:rPr>
                <w:rFonts w:eastAsia="TimesNewRoman"/>
                <w:sz w:val="20"/>
                <w:szCs w:val="20"/>
                <w:lang w:eastAsia="en-US"/>
              </w:rPr>
              <w:t>Один из периодов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истории России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F769B4">
              <w:rPr>
                <w:rFonts w:eastAsia="TimesNewRoman"/>
                <w:sz w:val="20"/>
                <w:szCs w:val="20"/>
                <w:lang w:eastAsia="en-US"/>
              </w:rPr>
              <w:t>с древнейших времён до 1914 г.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/</w:t>
            </w:r>
            <w:r>
              <w:t xml:space="preserve"> </w:t>
            </w:r>
            <w:r w:rsidRPr="00727C8E">
              <w:rPr>
                <w:rFonts w:eastAsia="TimesNewRoman"/>
                <w:sz w:val="20"/>
                <w:szCs w:val="20"/>
                <w:lang w:eastAsia="en-US"/>
              </w:rPr>
              <w:t>Соотнесение общих исторических процессов и отдельных фактов (анализ исторической ситуации)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77124">
              <w:rPr>
                <w:rFonts w:ascii="Arial" w:eastAsia="Times New Roman" w:hAnsi="Arial" w:cs="Arial"/>
                <w:sz w:val="20"/>
                <w:szCs w:val="20"/>
              </w:rPr>
              <w:t>58,2%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Default="008131E0" w:rsidP="008131E0">
            <w:pPr>
              <w:jc w:val="center"/>
            </w:pPr>
            <w:r w:rsidRPr="009C4966">
              <w:rPr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 w:rsidRPr="00727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24,4%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61,1%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1E0" w:rsidRPr="002178E5" w:rsidRDefault="008131E0" w:rsidP="00727C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90,5%</w:t>
            </w:r>
          </w:p>
        </w:tc>
      </w:tr>
    </w:tbl>
    <w:p w:rsidR="00022E68" w:rsidRDefault="00022E68" w:rsidP="001D7B78">
      <w:pPr>
        <w:ind w:left="-426" w:firstLine="965"/>
        <w:jc w:val="both"/>
        <w:rPr>
          <w:i/>
          <w:iCs/>
        </w:rPr>
      </w:pPr>
    </w:p>
    <w:p w:rsidR="00E139D2" w:rsidRPr="00E139D2" w:rsidRDefault="00E139D2" w:rsidP="00E139D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NewRoman"/>
        </w:rPr>
      </w:pPr>
      <w:r w:rsidRPr="00E139D2">
        <w:t xml:space="preserve">Успешность выполнения заданий базового уровня сложности (кроме заданий 5,15,16) выше 60%. Свыше 75% участников экзамена успешно справились с заданиями 1, 3, 4, 7, 8, 10, 12, 19. Основной контингент не </w:t>
      </w:r>
      <w:proofErr w:type="gramStart"/>
      <w:r w:rsidRPr="00E139D2">
        <w:t>решивших</w:t>
      </w:r>
      <w:proofErr w:type="gramEnd"/>
      <w:r w:rsidRPr="00E139D2">
        <w:t xml:space="preserve"> эти задания составляют выпускники со слабой образовательной подготовкой по истории. По итогам экзамена наиболее высокие результаты получены при выполнении следующих заданий: </w:t>
      </w:r>
      <w:r w:rsidRPr="00E139D2">
        <w:rPr>
          <w:rFonts w:eastAsia="TimesNewRoman"/>
        </w:rPr>
        <w:t>объяснение смысла изученных исторических понятий и терминов</w:t>
      </w:r>
      <w:r w:rsidRPr="00E139D2">
        <w:t xml:space="preserve"> (задание №3</w:t>
      </w:r>
      <w:r w:rsidR="00092C69">
        <w:t>-85,1% выполнения</w:t>
      </w:r>
      <w:r w:rsidRPr="00E139D2">
        <w:t xml:space="preserve">), </w:t>
      </w:r>
      <w:r w:rsidRPr="00E139D2">
        <w:rPr>
          <w:rFonts w:eastAsia="TimesNewRoman"/>
        </w:rPr>
        <w:t xml:space="preserve"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</w:t>
      </w:r>
      <w:r w:rsidRPr="00E139D2">
        <w:rPr>
          <w:rFonts w:eastAsia="TimesNewRoman"/>
        </w:rPr>
        <w:lastRenderedPageBreak/>
        <w:t>сравнение свидетельств разных источников</w:t>
      </w:r>
      <w:r w:rsidRPr="00E139D2">
        <w:t xml:space="preserve"> (задание №7</w:t>
      </w:r>
      <w:r w:rsidR="00092C69">
        <w:t>-87,2% выполнения</w:t>
      </w:r>
      <w:r w:rsidRPr="00E139D2">
        <w:t>, 12</w:t>
      </w:r>
      <w:r w:rsidR="00092C69">
        <w:t>-87,2%</w:t>
      </w:r>
      <w:r w:rsidRPr="00E139D2">
        <w:t>, 19</w:t>
      </w:r>
      <w:r w:rsidR="00092C69">
        <w:t>-93,6%</w:t>
      </w:r>
      <w:r w:rsidRPr="00E139D2">
        <w:t xml:space="preserve">).  Эти задания успешно выполнили не менее 85% участников экзамена. Этим заданиям нужно уделить первоочередное внимание при подготовке </w:t>
      </w:r>
      <w:proofErr w:type="gramStart"/>
      <w:r w:rsidRPr="00E139D2">
        <w:t>обучающихся</w:t>
      </w:r>
      <w:proofErr w:type="gramEnd"/>
      <w:r w:rsidRPr="00E139D2">
        <w:t xml:space="preserve"> со слабыми историческими знаниями.</w:t>
      </w:r>
    </w:p>
    <w:p w:rsidR="00E139D2" w:rsidRPr="00E139D2" w:rsidRDefault="00E139D2" w:rsidP="00E139D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NewRoman"/>
        </w:rPr>
      </w:pPr>
      <w:r w:rsidRPr="00E139D2">
        <w:t xml:space="preserve">В группу заданий, с которыми участники экзамена справились несколько хуже, но также на достаточно высоком уровне, вошли следующие задания: </w:t>
      </w:r>
      <w:r w:rsidRPr="00E139D2">
        <w:rPr>
          <w:rFonts w:eastAsia="TimesNewRoman"/>
        </w:rPr>
        <w:t>объяснение смысла изученных исторических понятий и терминов</w:t>
      </w:r>
      <w:r w:rsidRPr="00E139D2">
        <w:t xml:space="preserve"> (задание №5</w:t>
      </w:r>
      <w:r w:rsidR="00092C69">
        <w:t>-59,6%</w:t>
      </w:r>
      <w:r w:rsidRPr="00E139D2">
        <w:t xml:space="preserve">),  </w:t>
      </w:r>
      <w:r w:rsidRPr="00E139D2">
        <w:rPr>
          <w:rFonts w:eastAsia="TimesNewRoman"/>
        </w:rPr>
        <w:t xml:space="preserve"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</w:t>
      </w:r>
      <w:proofErr w:type="gramStart"/>
      <w:r w:rsidRPr="00E139D2">
        <w:rPr>
          <w:rFonts w:eastAsia="TimesNewRoman"/>
        </w:rPr>
        <w:t>сравнение свидетельств разных источников</w:t>
      </w:r>
      <w:r w:rsidRPr="00E139D2">
        <w:t xml:space="preserve"> (задание №11</w:t>
      </w:r>
      <w:r w:rsidR="00092C69">
        <w:t>-51,1%</w:t>
      </w:r>
      <w:r w:rsidRPr="00E139D2">
        <w:t xml:space="preserve">), </w:t>
      </w:r>
      <w:r w:rsidRPr="00E139D2">
        <w:rPr>
          <w:rFonts w:eastAsia="TimesNewRoman"/>
        </w:rPr>
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</w:r>
      <w:r w:rsidRPr="00E139D2">
        <w:t xml:space="preserve"> (задание №15-</w:t>
      </w:r>
      <w:r w:rsidR="00092C69">
        <w:t xml:space="preserve">55,3%, </w:t>
      </w:r>
      <w:r w:rsidRPr="00E139D2">
        <w:t>16</w:t>
      </w:r>
      <w:r w:rsidR="00092C69">
        <w:t>-59,6%</w:t>
      </w:r>
      <w:r w:rsidRPr="00E139D2">
        <w:t xml:space="preserve">), </w:t>
      </w:r>
      <w:r w:rsidRPr="00E139D2">
        <w:rPr>
          <w:rFonts w:eastAsia="TimesNewRoman"/>
        </w:rPr>
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</w:t>
      </w:r>
      <w:proofErr w:type="gramEnd"/>
      <w:r w:rsidRPr="00E139D2">
        <w:rPr>
          <w:rFonts w:eastAsia="TimesNewRoman"/>
        </w:rPr>
        <w:t xml:space="preserve"> сравнение свидетельств разных источников (задание №22</w:t>
      </w:r>
      <w:r w:rsidR="00092C69">
        <w:rPr>
          <w:rFonts w:eastAsia="TimesNewRoman"/>
        </w:rPr>
        <w:t>-51,1%</w:t>
      </w:r>
      <w:r w:rsidRPr="00E139D2">
        <w:rPr>
          <w:rFonts w:eastAsia="TimesNewRoman"/>
        </w:rPr>
        <w:t>), соотнесение общих исторических процессов и отдельных фактов (анализ исторической ситуации) (задание №24</w:t>
      </w:r>
      <w:r w:rsidR="00092C69">
        <w:rPr>
          <w:rFonts w:eastAsia="TimesNewRoman"/>
        </w:rPr>
        <w:t>-58,2%</w:t>
      </w:r>
      <w:r w:rsidRPr="00E139D2">
        <w:rPr>
          <w:rFonts w:eastAsia="TimesNewRoman"/>
        </w:rPr>
        <w:t xml:space="preserve">). </w:t>
      </w:r>
    </w:p>
    <w:p w:rsidR="00E139D2" w:rsidRPr="00E139D2" w:rsidRDefault="00E139D2" w:rsidP="00E139D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NewRoman"/>
        </w:rPr>
      </w:pPr>
      <w:proofErr w:type="gramStart"/>
      <w:r w:rsidRPr="00E139D2">
        <w:t>Низкий уровень успешности продемонстрировали участники экзамена при выполнении следующих заданий:</w:t>
      </w:r>
      <w:r w:rsidRPr="00E139D2">
        <w:rPr>
          <w:bCs/>
        </w:rPr>
        <w:t xml:space="preserve"> </w:t>
      </w:r>
      <w:r w:rsidRPr="00E139D2">
        <w:rPr>
          <w:rFonts w:eastAsia="TimesNewRoman"/>
        </w:rPr>
        <w:t>определение последовательности и длительности важнейших событий отечественной и всеобщей истории</w:t>
      </w:r>
      <w:r w:rsidRPr="00E139D2">
        <w:t xml:space="preserve"> (задание №2</w:t>
      </w:r>
      <w:r w:rsidR="00092C69">
        <w:t>-29,8% выполнения</w:t>
      </w:r>
      <w:r w:rsidRPr="00E139D2">
        <w:t>)</w:t>
      </w:r>
      <w:r w:rsidR="00092C69">
        <w:t>, причем не справились с данным заданием участники практически во всех группах,</w:t>
      </w:r>
      <w:r w:rsidRPr="00E139D2">
        <w:t xml:space="preserve"> </w:t>
      </w:r>
      <w:r w:rsidRPr="00E139D2">
        <w:rPr>
          <w:rFonts w:eastAsia="TimesNewRoman"/>
        </w:rPr>
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</w:t>
      </w:r>
      <w:proofErr w:type="gramEnd"/>
      <w:r w:rsidRPr="00E139D2">
        <w:rPr>
          <w:rFonts w:eastAsia="TimesNewRoman"/>
        </w:rPr>
        <w:t xml:space="preserve"> сравнение свидетельств разных источников</w:t>
      </w:r>
      <w:r w:rsidRPr="00E139D2">
        <w:t xml:space="preserve"> (задание №20</w:t>
      </w:r>
      <w:r w:rsidR="00092C69">
        <w:t>-45,7%</w:t>
      </w:r>
      <w:r w:rsidRPr="00E139D2">
        <w:t>),</w:t>
      </w:r>
      <w:r w:rsidRPr="00E139D2">
        <w:rPr>
          <w:bCs/>
        </w:rPr>
        <w:t xml:space="preserve"> </w:t>
      </w:r>
      <w:r w:rsidRPr="00E139D2">
        <w:rPr>
          <w:rFonts w:eastAsia="TimesNewRoman"/>
        </w:rPr>
        <w:t>определение причин и следствия важнейших исторических событий</w:t>
      </w:r>
      <w:r w:rsidRPr="00E139D2">
        <w:t xml:space="preserve"> (задание №21</w:t>
      </w:r>
      <w:r w:rsidR="00092C69">
        <w:t>-42,6%</w:t>
      </w:r>
      <w:r w:rsidRPr="00E139D2">
        <w:t>),</w:t>
      </w:r>
      <w:r w:rsidRPr="00E139D2">
        <w:rPr>
          <w:bCs/>
          <w:color w:val="000000"/>
        </w:rPr>
        <w:t xml:space="preserve"> </w:t>
      </w:r>
      <w:r w:rsidRPr="00E139D2">
        <w:rPr>
          <w:rFonts w:eastAsia="TimesNewRoman"/>
        </w:rPr>
        <w:t>выявление общности и различия сравниваемых исторических событий и явлений</w:t>
      </w:r>
      <w:r w:rsidRPr="00E139D2">
        <w:rPr>
          <w:color w:val="000000"/>
        </w:rPr>
        <w:t xml:space="preserve"> (задание №23</w:t>
      </w:r>
      <w:r w:rsidR="00092C69">
        <w:rPr>
          <w:color w:val="000000"/>
        </w:rPr>
        <w:t>-43,6%</w:t>
      </w:r>
      <w:r w:rsidRPr="00E139D2">
        <w:rPr>
          <w:color w:val="000000"/>
        </w:rPr>
        <w:t xml:space="preserve">). </w:t>
      </w:r>
      <w:r w:rsidRPr="00E139D2">
        <w:t xml:space="preserve">Эти задания при подготовке </w:t>
      </w:r>
      <w:proofErr w:type="gramStart"/>
      <w:r w:rsidRPr="00E139D2">
        <w:t>обучающихся</w:t>
      </w:r>
      <w:proofErr w:type="gramEnd"/>
      <w:r w:rsidRPr="00E139D2">
        <w:t xml:space="preserve"> со слабыми историческими знаниями нужно рассматривать в последнюю очередь.</w:t>
      </w:r>
    </w:p>
    <w:p w:rsidR="00727C8E" w:rsidRPr="00E139D2" w:rsidRDefault="00727C8E" w:rsidP="00727C8E">
      <w:pPr>
        <w:ind w:firstLine="539"/>
        <w:jc w:val="both"/>
        <w:rPr>
          <w:sz w:val="16"/>
          <w:szCs w:val="16"/>
        </w:rPr>
      </w:pPr>
    </w:p>
    <w:p w:rsidR="00727C8E" w:rsidRPr="00290F80" w:rsidRDefault="00727C8E" w:rsidP="00727C8E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290F80">
        <w:rPr>
          <w:b/>
          <w:bCs/>
          <w:sz w:val="28"/>
          <w:szCs w:val="28"/>
        </w:rPr>
        <w:t>. Рекомендации</w:t>
      </w:r>
      <w:r>
        <w:rPr>
          <w:rStyle w:val="a6"/>
          <w:b/>
          <w:bCs/>
          <w:sz w:val="28"/>
          <w:szCs w:val="28"/>
        </w:rPr>
        <w:footnoteReference w:id="7"/>
      </w:r>
      <w:r w:rsidRPr="00290F80">
        <w:rPr>
          <w:b/>
          <w:bCs/>
          <w:sz w:val="28"/>
          <w:szCs w:val="28"/>
        </w:rPr>
        <w:t xml:space="preserve"> по совершенствованию методики преподавания учебного предмета</w:t>
      </w:r>
    </w:p>
    <w:p w:rsidR="00727C8E" w:rsidRDefault="00727C8E" w:rsidP="00E139D2">
      <w:pPr>
        <w:jc w:val="both"/>
      </w:pPr>
    </w:p>
    <w:p w:rsidR="00727C8E" w:rsidRDefault="00727C8E" w:rsidP="00727C8E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E139D2" w:rsidRDefault="00E139D2" w:rsidP="00727C8E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7C8E" w:rsidRPr="003602B9" w:rsidRDefault="00E139D2" w:rsidP="00E139D2">
      <w:pPr>
        <w:pStyle w:val="a3"/>
        <w:spacing w:before="240" w:after="0" w:line="36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9D2">
        <w:rPr>
          <w:rFonts w:ascii="Times New Roman" w:hAnsi="Times New Roman"/>
          <w:sz w:val="24"/>
          <w:szCs w:val="24"/>
        </w:rPr>
        <w:t xml:space="preserve">В 2022 году задания </w:t>
      </w:r>
      <w:proofErr w:type="gramStart"/>
      <w:r w:rsidRPr="00E139D2">
        <w:rPr>
          <w:rFonts w:ascii="Times New Roman" w:hAnsi="Times New Roman"/>
          <w:sz w:val="24"/>
          <w:szCs w:val="24"/>
        </w:rPr>
        <w:t>в</w:t>
      </w:r>
      <w:proofErr w:type="gramEnd"/>
      <w:r w:rsidRPr="00E139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9D2">
        <w:rPr>
          <w:rFonts w:ascii="Times New Roman" w:hAnsi="Times New Roman"/>
          <w:sz w:val="24"/>
          <w:szCs w:val="24"/>
        </w:rPr>
        <w:t>КИМ</w:t>
      </w:r>
      <w:proofErr w:type="gramEnd"/>
      <w:r w:rsidRPr="00E139D2">
        <w:rPr>
          <w:rFonts w:ascii="Times New Roman" w:hAnsi="Times New Roman"/>
          <w:sz w:val="24"/>
          <w:szCs w:val="24"/>
        </w:rPr>
        <w:t xml:space="preserve"> были составлены таким образом, чтобы на ОГЭ выявлялись не знания, а в первую очередь, умения. На экзаменах по истории на первом </w:t>
      </w:r>
      <w:r w:rsidRPr="00E139D2">
        <w:rPr>
          <w:rFonts w:ascii="Times New Roman" w:hAnsi="Times New Roman"/>
          <w:sz w:val="24"/>
          <w:szCs w:val="24"/>
        </w:rPr>
        <w:lastRenderedPageBreak/>
        <w:t xml:space="preserve">плане не даты или определения, а способность работать с информацией, анализировать её, при этом правильно и </w:t>
      </w:r>
      <w:proofErr w:type="spellStart"/>
      <w:r w:rsidRPr="00E139D2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E139D2">
        <w:rPr>
          <w:rFonts w:ascii="Times New Roman" w:hAnsi="Times New Roman"/>
          <w:sz w:val="24"/>
          <w:szCs w:val="24"/>
        </w:rPr>
        <w:t xml:space="preserve"> формулируя свои мысли. В целях более качественной подготовки к ОГЭ-2023 ученик должен ознакомиться не только с новой демоверсией, но и со спецификацией (проверяемые разделы курса по каждому из вопросов, проверяемые виды деятельности), с кодификатором (перечень тем, выделение содержательных доминант). При подготовке к заданиям учитывать, что в ОГЭ включены элементы всеобщей истории, что потребует более сознательного изучения истории других стран. Рекомендуется проводить активную работу по формированию у обучающихся всех основных умений, требуемых стандартом по истории, особое </w:t>
      </w:r>
      <w:proofErr w:type="gramStart"/>
      <w:r w:rsidRPr="00E139D2">
        <w:rPr>
          <w:rFonts w:ascii="Times New Roman" w:hAnsi="Times New Roman"/>
          <w:sz w:val="24"/>
          <w:szCs w:val="24"/>
        </w:rPr>
        <w:t>внимание</w:t>
      </w:r>
      <w:proofErr w:type="gramEnd"/>
      <w:r w:rsidRPr="00E139D2">
        <w:rPr>
          <w:rFonts w:ascii="Times New Roman" w:hAnsi="Times New Roman"/>
          <w:sz w:val="24"/>
          <w:szCs w:val="24"/>
        </w:rPr>
        <w:t xml:space="preserve"> уделяя умению сравнивать исторические события, явления; повысить уровень овладения учащимися умениями поиска и анализа исторической информации, представленной в разных источниках (текст, историческая карта, таблица, схема, изображение и т.д.); обратить внимание на организацию работы по соотнесению общих исторических процессов и частных фактов; </w:t>
      </w:r>
      <w:proofErr w:type="gramStart"/>
      <w:r w:rsidRPr="00E139D2">
        <w:rPr>
          <w:rFonts w:ascii="Times New Roman" w:hAnsi="Times New Roman"/>
          <w:sz w:val="24"/>
          <w:szCs w:val="24"/>
        </w:rPr>
        <w:t>включать разнообразные по форме и уровню сложности задания в текущую проверку знаний на уроках, ориентируясь на модели заданий ОГЭ; на уроках системно использовать алгоритмы выполнения заданий, аналогичных тем, которые используются в рамках итоговой аттестации, учить школьников составлять их самим; педагогам рекомендуется более активно использовать в работе материалы, размещенные на сайте ФИПИ, в частности, Открытый банк заданий</w:t>
      </w:r>
      <w:r w:rsidRPr="00700F77">
        <w:rPr>
          <w:rFonts w:ascii="Times New Roman" w:hAnsi="Times New Roman"/>
          <w:sz w:val="28"/>
          <w:szCs w:val="28"/>
        </w:rPr>
        <w:t>.</w:t>
      </w:r>
      <w:proofErr w:type="gramEnd"/>
    </w:p>
    <w:p w:rsidR="00727C8E" w:rsidRPr="003602B9" w:rsidRDefault="00727C8E" w:rsidP="00727C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:rsidR="00727C8E" w:rsidRPr="003602B9" w:rsidRDefault="00727C8E" w:rsidP="00727C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2C69" w:rsidRPr="00092C69" w:rsidRDefault="00092C69" w:rsidP="00092C6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bookmarkStart w:id="7" w:name="_GoBack"/>
      <w:bookmarkEnd w:id="7"/>
      <w:r>
        <w:rPr>
          <w:b/>
        </w:rPr>
        <w:t>Для учащихся с</w:t>
      </w:r>
      <w:r w:rsidRPr="00092C69">
        <w:rPr>
          <w:b/>
        </w:rPr>
        <w:t xml:space="preserve"> низким уровнем предметной подготовки:</w:t>
      </w:r>
    </w:p>
    <w:p w:rsidR="00092C69" w:rsidRPr="00E139D2" w:rsidRDefault="00092C69" w:rsidP="00092C69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E139D2">
        <w:t xml:space="preserve"> Как правило, задания, которые вызывают затруднения у этой группы обучающихся, требуют представления и применения знаний и понимания исторических понятий, работы с письменными историческими источниками и с исторической картой. Экзаменуемые с данным уровнем подготовки обычно испытывают затруднения при выполнении заданий направленных на сопоставлении и анализ имеющейся информации, использование исторических знаний в соответствии с имеющимися данными. Для определения образовательной траектории данных обучающихся необходимо выявить образовательные дефициты в разделах предметного курса. Для обучения школьников со слабыми историческими знаниями в первую очередь нужно обратить внимание на задания с результатами выполнения свыше 75%: задания №1, 3, 4, 7, 8, 10, 12, 19. </w:t>
      </w:r>
      <w:proofErr w:type="gramStart"/>
      <w:r w:rsidRPr="00E139D2">
        <w:t xml:space="preserve">Для обеспечения прохождения аттестационного рубежа нужно обязательно рассматривать задания, выполнение которых находится в диапазоне 70–95%: </w:t>
      </w:r>
      <w:r w:rsidRPr="00E139D2">
        <w:rPr>
          <w:rFonts w:eastAsia="TimesNewRoman"/>
        </w:rPr>
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</w:r>
      <w:r w:rsidRPr="00E139D2">
        <w:t xml:space="preserve"> (задание на установление соответствия) (задание №1,4,), </w:t>
      </w:r>
      <w:r w:rsidRPr="00E139D2">
        <w:rPr>
          <w:rFonts w:eastAsia="TimesNewRoman"/>
        </w:rPr>
        <w:lastRenderedPageBreak/>
        <w:t>объяснение смысла изученных исторических понятий и терминов</w:t>
      </w:r>
      <w:r w:rsidRPr="00E139D2">
        <w:t xml:space="preserve"> (задание №3), </w:t>
      </w:r>
      <w:r w:rsidRPr="00E139D2">
        <w:rPr>
          <w:rFonts w:eastAsia="TimesNewRoman"/>
        </w:rPr>
        <w:t>использование данных различных исторических и современных источников (текста</w:t>
      </w:r>
      <w:proofErr w:type="gramEnd"/>
      <w:r w:rsidRPr="00E139D2">
        <w:rPr>
          <w:rFonts w:eastAsia="TimesNewRoman"/>
        </w:rPr>
        <w:t>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</w:r>
      <w:r w:rsidRPr="00E139D2">
        <w:t xml:space="preserve"> (задание №7, 12, 19), </w:t>
      </w:r>
      <w:r w:rsidRPr="00E139D2">
        <w:rPr>
          <w:rFonts w:eastAsia="TimesNewRoman"/>
        </w:rPr>
        <w:t>работа с исторической картой (задание № 8, 10)</w:t>
      </w:r>
      <w:r w:rsidRPr="00E139D2">
        <w:t xml:space="preserve">. </w:t>
      </w:r>
    </w:p>
    <w:p w:rsidR="00092C69" w:rsidRPr="00092C69" w:rsidRDefault="00092C69" w:rsidP="00092C6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Для учащихся с достаточным</w:t>
      </w:r>
      <w:r w:rsidRPr="00092C69">
        <w:rPr>
          <w:b/>
        </w:rPr>
        <w:t xml:space="preserve"> уровнем предметной подготовки:</w:t>
      </w:r>
    </w:p>
    <w:p w:rsidR="00092C69" w:rsidRPr="00E139D2" w:rsidRDefault="00190F1E" w:rsidP="00092C6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NewRoman"/>
        </w:rPr>
      </w:pPr>
      <w:r>
        <w:t>Ч</w:t>
      </w:r>
      <w:r w:rsidR="00092C69" w:rsidRPr="00E139D2">
        <w:t xml:space="preserve">аще всего </w:t>
      </w:r>
      <w:r>
        <w:t xml:space="preserve">эти ребята </w:t>
      </w:r>
      <w:r w:rsidR="00092C69" w:rsidRPr="00E139D2">
        <w:t>испытывают затруднения с заданиями, которые направлены на работу</w:t>
      </w:r>
      <w:r>
        <w:t xml:space="preserve"> </w:t>
      </w:r>
      <w:r w:rsidR="00092C69" w:rsidRPr="00E139D2">
        <w:t xml:space="preserve">историческими терминами, историческими источниками, а так же соотнесение общих исторических процессов и фактов. С данной группой необходимо анализировать и выполнять задания с решаемостью около 60% и выше. Такими заданиями являются: </w:t>
      </w:r>
      <w:r w:rsidR="00092C69" w:rsidRPr="00E139D2">
        <w:rPr>
          <w:rFonts w:eastAsia="TimesNewRoman"/>
        </w:rPr>
        <w:t>объяснение смысла изученных исторических понятий и терминов (задание №5),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 (задание №13, 14), знание основных дат, этапов и ключевых событий истории России и мира с древности до 1914 г., выдающихся деятелей отечественной и всеобщей истории (задание №16), соотнесение общих исторических процессов и отдельных фактов (анализ исторической ситуации) (задание №24).</w:t>
      </w:r>
    </w:p>
    <w:p w:rsidR="00190F1E" w:rsidRPr="00092C69" w:rsidRDefault="00190F1E" w:rsidP="00190F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Для учащихся с высоким</w:t>
      </w:r>
      <w:r w:rsidRPr="00092C69">
        <w:rPr>
          <w:b/>
        </w:rPr>
        <w:t xml:space="preserve"> уровнем предметной подготовки:</w:t>
      </w:r>
    </w:p>
    <w:p w:rsidR="00092C69" w:rsidRPr="00E139D2" w:rsidRDefault="00190F1E" w:rsidP="00092C6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Эти учащиеся </w:t>
      </w:r>
      <w:r w:rsidR="00092C69" w:rsidRPr="00E139D2">
        <w:rPr>
          <w:rFonts w:eastAsia="TimesNewRoman"/>
        </w:rPr>
        <w:t xml:space="preserve">нуждаются в индивидуальной работе </w:t>
      </w:r>
      <w:proofErr w:type="gramStart"/>
      <w:r w:rsidR="00092C69" w:rsidRPr="00E139D2">
        <w:rPr>
          <w:rFonts w:eastAsia="TimesNewRoman"/>
        </w:rPr>
        <w:t>по</w:t>
      </w:r>
      <w:proofErr w:type="gramEnd"/>
      <w:r w:rsidR="00092C69" w:rsidRPr="00E139D2">
        <w:rPr>
          <w:rFonts w:eastAsia="TimesNewRoman"/>
        </w:rPr>
        <w:t xml:space="preserve"> </w:t>
      </w:r>
      <w:proofErr w:type="gramStart"/>
      <w:r w:rsidR="00092C69" w:rsidRPr="00E139D2">
        <w:rPr>
          <w:rFonts w:eastAsia="TimesNewRoman"/>
        </w:rPr>
        <w:t>заданиями</w:t>
      </w:r>
      <w:proofErr w:type="gramEnd"/>
      <w:r w:rsidR="00092C69" w:rsidRPr="00E139D2">
        <w:rPr>
          <w:rFonts w:eastAsia="TimesNewRoman"/>
        </w:rPr>
        <w:t>, которые вызывают затруднения. В первую очередь с этой группой необходимо рассматривать задания с решаемостью близко или ниже 50%: задание №2, 11, 20-23.</w:t>
      </w:r>
    </w:p>
    <w:p w:rsidR="007A74B7" w:rsidRPr="002178E5" w:rsidRDefault="0079316A" w:rsidP="00092C69">
      <w:pPr>
        <w:spacing w:before="240" w:line="360" w:lineRule="auto"/>
        <w:jc w:val="both"/>
        <w:rPr>
          <w:b/>
          <w:bCs/>
          <w:sz w:val="28"/>
          <w:szCs w:val="28"/>
        </w:rPr>
      </w:pPr>
      <w:r w:rsidRPr="004C2FD7">
        <w:rPr>
          <w:b/>
          <w:bCs/>
        </w:rPr>
        <w:t>2.</w:t>
      </w:r>
      <w:r w:rsidR="002F4079" w:rsidRPr="004C2FD7">
        <w:rPr>
          <w:b/>
          <w:bCs/>
        </w:rPr>
        <w:t>5</w:t>
      </w:r>
      <w:r w:rsidRPr="004C2FD7">
        <w:rPr>
          <w:b/>
          <w:bCs/>
        </w:rPr>
        <w:t xml:space="preserve">. </w:t>
      </w:r>
      <w:proofErr w:type="gramStart"/>
      <w:r w:rsidRPr="004C2FD7">
        <w:rPr>
          <w:b/>
          <w:bCs/>
        </w:rPr>
        <w:t>Информация о публикации (размещении) на открытых для общего доступа</w:t>
      </w:r>
      <w:r w:rsidR="002D3263" w:rsidRPr="004C2FD7">
        <w:rPr>
          <w:b/>
          <w:bCs/>
        </w:rPr>
        <w:t xml:space="preserve"> на</w:t>
      </w:r>
      <w:r w:rsidRPr="004C2FD7">
        <w:rPr>
          <w:b/>
          <w:bCs/>
        </w:rPr>
        <w:t xml:space="preserve"> страницах информационно-коммуникационных </w:t>
      </w:r>
      <w:proofErr w:type="spellStart"/>
      <w:r w:rsidRPr="004C2FD7">
        <w:rPr>
          <w:b/>
          <w:bCs/>
        </w:rPr>
        <w:t>интернет-ресурсах</w:t>
      </w:r>
      <w:proofErr w:type="spellEnd"/>
      <w:r w:rsidRPr="004C2FD7">
        <w:rPr>
          <w:b/>
          <w:bCs/>
        </w:rPr>
        <w:t xml:space="preserve">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</w:t>
      </w:r>
      <w:r w:rsidRPr="002178E5">
        <w:rPr>
          <w:b/>
          <w:bCs/>
          <w:sz w:val="28"/>
          <w:szCs w:val="28"/>
        </w:rPr>
        <w:t xml:space="preserve"> </w:t>
      </w:r>
      <w:proofErr w:type="gramEnd"/>
    </w:p>
    <w:p w:rsidR="00643A8E" w:rsidRDefault="00643A8E" w:rsidP="00643A8E">
      <w:pPr>
        <w:pStyle w:val="a3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:rsidR="00290F80" w:rsidRDefault="00290F80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:rsidR="007A74B7" w:rsidRDefault="002D3263" w:rsidP="002178E5">
      <w:pPr>
        <w:pStyle w:val="a3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2.6.1. 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страницы размещения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</w:t>
      </w:r>
      <w:r w:rsidRPr="00FA4B3A">
        <w:t>_________________________</w:t>
      </w:r>
    </w:p>
    <w:p w:rsidR="007A74B7" w:rsidRDefault="007A74B7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7A74B7" w:rsidRDefault="007A74B7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7A74B7" w:rsidRDefault="002D3263" w:rsidP="002178E5">
      <w:pPr>
        <w:pStyle w:val="a3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2.6.2. Д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4B3A">
        <w:t>___________________</w:t>
      </w:r>
      <w:r w:rsidR="002F4079">
        <w:t>_____________________</w:t>
      </w:r>
    </w:p>
    <w:p w:rsidR="002D3263" w:rsidRDefault="002D3263" w:rsidP="002D3263">
      <w:pPr>
        <w:spacing w:line="360" w:lineRule="auto"/>
        <w:ind w:left="-425"/>
        <w:jc w:val="both"/>
      </w:pPr>
    </w:p>
    <w:p w:rsidR="002D3263" w:rsidRDefault="002D3263" w:rsidP="002D3263">
      <w:pPr>
        <w:spacing w:line="360" w:lineRule="auto"/>
        <w:ind w:left="-425"/>
        <w:jc w:val="both"/>
        <w:sectPr w:rsidR="002D3263" w:rsidSect="000D4034">
          <w:footerReference w:type="default" r:id="rId9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F613FE" w:rsidRPr="00580ED1" w:rsidRDefault="00F613FE" w:rsidP="00F613FE">
      <w:pPr>
        <w:spacing w:line="360" w:lineRule="auto"/>
      </w:pPr>
      <w:r w:rsidRPr="00580ED1">
        <w:lastRenderedPageBreak/>
        <w:t>СОСТАВИТЕЛИ ОТЧЕТА по учебному предмету</w:t>
      </w:r>
      <w:r>
        <w:t xml:space="preserve"> </w:t>
      </w:r>
      <w:r w:rsidR="00190F1E">
        <w:rPr>
          <w:u w:val="single"/>
        </w:rPr>
        <w:t>ИСТОРИЯ</w:t>
      </w:r>
      <w:r w:rsidRPr="00580ED1">
        <w:t xml:space="preserve">: </w:t>
      </w:r>
    </w:p>
    <w:p w:rsidR="007977C8" w:rsidRDefault="007977C8" w:rsidP="007977C8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 xml:space="preserve">ГИА </w:t>
      </w:r>
    </w:p>
    <w:p w:rsidR="007977C8" w:rsidRDefault="007977C8" w:rsidP="007977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ГБУ ДПО «Новокуйбышевский РЦ»</w:t>
      </w:r>
    </w:p>
    <w:p w:rsidR="007977C8" w:rsidRPr="00FC6BBF" w:rsidRDefault="007977C8" w:rsidP="007977C8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317"/>
        <w:gridCol w:w="3318"/>
        <w:gridCol w:w="3318"/>
      </w:tblGrid>
      <w:tr w:rsidR="007977C8" w:rsidRPr="00634251" w:rsidTr="007C558D">
        <w:tc>
          <w:tcPr>
            <w:tcW w:w="396" w:type="dxa"/>
          </w:tcPr>
          <w:p w:rsidR="007977C8" w:rsidRPr="00634251" w:rsidRDefault="007977C8" w:rsidP="007C558D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7977C8" w:rsidRDefault="007977C8" w:rsidP="007C558D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Ответственный специалист, выполнявший анализ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по предмету</w:t>
            </w:r>
          </w:p>
        </w:tc>
        <w:tc>
          <w:tcPr>
            <w:tcW w:w="3318" w:type="dxa"/>
            <w:shd w:val="clear" w:color="auto" w:fill="auto"/>
          </w:tcPr>
          <w:p w:rsidR="007977C8" w:rsidRPr="00634251" w:rsidRDefault="007977C8" w:rsidP="007C558D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7977C8" w:rsidRPr="00634251" w:rsidRDefault="007977C8" w:rsidP="007C558D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7977C8" w:rsidRPr="00634251" w:rsidTr="007C558D">
        <w:trPr>
          <w:trHeight w:val="667"/>
        </w:trPr>
        <w:tc>
          <w:tcPr>
            <w:tcW w:w="396" w:type="dxa"/>
          </w:tcPr>
          <w:p w:rsidR="007977C8" w:rsidRPr="00634251" w:rsidRDefault="007977C8" w:rsidP="007C558D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7977C8" w:rsidRPr="00634251" w:rsidRDefault="00190F1E" w:rsidP="007C558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История</w:t>
            </w:r>
          </w:p>
        </w:tc>
        <w:tc>
          <w:tcPr>
            <w:tcW w:w="3318" w:type="dxa"/>
            <w:shd w:val="clear" w:color="auto" w:fill="auto"/>
          </w:tcPr>
          <w:p w:rsidR="007977C8" w:rsidRPr="00634251" w:rsidRDefault="007977C8" w:rsidP="007C558D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Николаевна,</w:t>
            </w:r>
            <w:r w:rsidRPr="00674C13">
              <w:rPr>
                <w:i/>
                <w:iCs/>
              </w:rPr>
              <w:t xml:space="preserve"> ГБУ ДПО Новокуйбышевский РЦ», </w:t>
            </w:r>
            <w:r>
              <w:rPr>
                <w:i/>
                <w:iCs/>
              </w:rPr>
              <w:t xml:space="preserve"> руководитель отдела оценки качества образования и образовательной статистики</w:t>
            </w:r>
          </w:p>
        </w:tc>
        <w:tc>
          <w:tcPr>
            <w:tcW w:w="3318" w:type="dxa"/>
          </w:tcPr>
          <w:p w:rsidR="007977C8" w:rsidRPr="00634251" w:rsidRDefault="007977C8" w:rsidP="007C558D">
            <w:pPr>
              <w:jc w:val="both"/>
              <w:rPr>
                <w:i/>
                <w:iCs/>
              </w:rPr>
            </w:pPr>
          </w:p>
        </w:tc>
      </w:tr>
      <w:tr w:rsidR="007977C8" w:rsidRPr="00634251" w:rsidTr="007C558D">
        <w:tc>
          <w:tcPr>
            <w:tcW w:w="396" w:type="dxa"/>
          </w:tcPr>
          <w:p w:rsidR="007977C8" w:rsidRPr="00634251" w:rsidRDefault="007977C8" w:rsidP="007C558D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7977C8" w:rsidRPr="00634251" w:rsidRDefault="007977C8" w:rsidP="007C558D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Специалисты, привлекаемые к анализу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 по предмету</w:t>
            </w:r>
          </w:p>
        </w:tc>
        <w:tc>
          <w:tcPr>
            <w:tcW w:w="3318" w:type="dxa"/>
            <w:shd w:val="clear" w:color="auto" w:fill="auto"/>
          </w:tcPr>
          <w:p w:rsidR="007977C8" w:rsidRPr="00634251" w:rsidRDefault="007977C8" w:rsidP="007C558D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7977C8" w:rsidRPr="00634251" w:rsidRDefault="007977C8" w:rsidP="007C558D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7977C8" w:rsidRPr="00634251" w:rsidTr="007C558D">
        <w:trPr>
          <w:trHeight w:val="750"/>
        </w:trPr>
        <w:tc>
          <w:tcPr>
            <w:tcW w:w="396" w:type="dxa"/>
          </w:tcPr>
          <w:p w:rsidR="007977C8" w:rsidRPr="00634251" w:rsidRDefault="007977C8" w:rsidP="007C558D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7977C8" w:rsidRPr="00634251" w:rsidRDefault="00190F1E" w:rsidP="007C558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История</w:t>
            </w:r>
          </w:p>
        </w:tc>
        <w:tc>
          <w:tcPr>
            <w:tcW w:w="3318" w:type="dxa"/>
            <w:shd w:val="clear" w:color="auto" w:fill="auto"/>
          </w:tcPr>
          <w:p w:rsidR="007977C8" w:rsidRPr="00634251" w:rsidRDefault="00190F1E" w:rsidP="007977C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Летич</w:t>
            </w:r>
            <w:proofErr w:type="spellEnd"/>
            <w:r>
              <w:rPr>
                <w:i/>
                <w:iCs/>
              </w:rPr>
              <w:t xml:space="preserve"> Алена Игоревна, </w:t>
            </w:r>
            <w:r w:rsidRPr="00674C13">
              <w:rPr>
                <w:i/>
                <w:iCs/>
              </w:rPr>
              <w:t xml:space="preserve">ГБУ ДПО Новокуйбышевский РЦ», </w:t>
            </w:r>
            <w:r>
              <w:rPr>
                <w:i/>
                <w:iCs/>
              </w:rPr>
              <w:t xml:space="preserve"> методист отдела учебно-методического сопровождения</w:t>
            </w:r>
          </w:p>
        </w:tc>
        <w:tc>
          <w:tcPr>
            <w:tcW w:w="3318" w:type="dxa"/>
          </w:tcPr>
          <w:p w:rsidR="007977C8" w:rsidRPr="00634251" w:rsidRDefault="007977C8" w:rsidP="007C558D">
            <w:pPr>
              <w:jc w:val="both"/>
              <w:rPr>
                <w:i/>
                <w:iCs/>
              </w:rPr>
            </w:pPr>
          </w:p>
        </w:tc>
      </w:tr>
    </w:tbl>
    <w:p w:rsidR="00F613FE" w:rsidRDefault="00F613FE" w:rsidP="00F613FE">
      <w:pPr>
        <w:spacing w:line="360" w:lineRule="auto"/>
        <w:rPr>
          <w:sz w:val="28"/>
          <w:szCs w:val="28"/>
        </w:rPr>
      </w:pPr>
    </w:p>
    <w:sectPr w:rsidR="00F613FE" w:rsidSect="002178E5">
      <w:headerReference w:type="default" r:id="rId10"/>
      <w:footerReference w:type="default" r:id="rId11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E0" w:rsidRDefault="008131E0" w:rsidP="005060D9">
      <w:r>
        <w:separator/>
      </w:r>
    </w:p>
  </w:endnote>
  <w:endnote w:type="continuationSeparator" w:id="0">
    <w:p w:rsidR="008131E0" w:rsidRDefault="008131E0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E0" w:rsidRPr="004323C9" w:rsidRDefault="004303C1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="008131E0"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E22C73">
      <w:rPr>
        <w:rFonts w:ascii="Times New Roman" w:hAnsi="Times New Roman"/>
        <w:noProof/>
        <w:sz w:val="24"/>
      </w:rPr>
      <w:t>1</w:t>
    </w:r>
    <w:r w:rsidRPr="004323C9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Content>
      <w:p w:rsidR="008131E0" w:rsidRDefault="004303C1" w:rsidP="002133CF">
        <w:pPr>
          <w:pStyle w:val="aa"/>
          <w:jc w:val="right"/>
        </w:pPr>
        <w:fldSimple w:instr=" PAGE   \* MERGEFORMAT ">
          <w:r w:rsidR="00E22C73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E0" w:rsidRDefault="008131E0" w:rsidP="005060D9">
      <w:r>
        <w:separator/>
      </w:r>
    </w:p>
  </w:footnote>
  <w:footnote w:type="continuationSeparator" w:id="0">
    <w:p w:rsidR="008131E0" w:rsidRDefault="008131E0" w:rsidP="005060D9">
      <w:r>
        <w:continuationSeparator/>
      </w:r>
    </w:p>
  </w:footnote>
  <w:footnote w:id="1">
    <w:p w:rsidR="008131E0" w:rsidRDefault="008131E0" w:rsidP="002178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Здесь и далее: ввиду того, что в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68434B">
        <w:rPr>
          <w:rFonts w:ascii="Times New Roman" w:hAnsi="Times New Roman"/>
        </w:rPr>
        <w:t xml:space="preserve">г. ОГЭ </w:t>
      </w:r>
      <w:r>
        <w:rPr>
          <w:rFonts w:ascii="Times New Roman" w:hAnsi="Times New Roman"/>
        </w:rPr>
        <w:t>по предметам по выбору обучающихся</w:t>
      </w:r>
      <w:r w:rsidRPr="0068434B">
        <w:rPr>
          <w:rFonts w:ascii="Times New Roman" w:hAnsi="Times New Roman"/>
        </w:rPr>
        <w:t xml:space="preserve"> не проводился</w:t>
      </w:r>
      <w:r>
        <w:rPr>
          <w:rFonts w:ascii="Times New Roman" w:hAnsi="Times New Roman"/>
        </w:rPr>
        <w:t>, данный столбец заполняется только в отчетах по русскому языку и математике.</w:t>
      </w:r>
      <w:proofErr w:type="gramEnd"/>
      <w:r>
        <w:rPr>
          <w:rFonts w:ascii="Times New Roman" w:hAnsi="Times New Roman"/>
        </w:rPr>
        <w:t xml:space="preserve"> В учебных предметах по выбору рассматриваются результаты ОГЭ 2018, 2019, 2022 гг. </w:t>
      </w:r>
    </w:p>
  </w:footnote>
  <w:footnote w:id="2">
    <w:p w:rsidR="008131E0" w:rsidRPr="005E0053" w:rsidRDefault="008131E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8131E0" w:rsidRDefault="008131E0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8131E0" w:rsidRPr="00903AC5" w:rsidRDefault="008131E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5">
    <w:p w:rsidR="008131E0" w:rsidRPr="007A5716" w:rsidRDefault="008131E0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6">
    <w:p w:rsidR="008131E0" w:rsidRPr="00D6675C" w:rsidRDefault="008131E0" w:rsidP="00406E15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  <w:footnote w:id="7">
    <w:p w:rsidR="008131E0" w:rsidRDefault="008131E0" w:rsidP="00727C8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E0" w:rsidRDefault="008131E0">
    <w:pPr>
      <w:pStyle w:val="ae"/>
      <w:jc w:val="center"/>
    </w:pPr>
  </w:p>
  <w:p w:rsidR="008131E0" w:rsidRDefault="008131E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25C77"/>
    <w:multiLevelType w:val="hybridMultilevel"/>
    <w:tmpl w:val="0D78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141165"/>
    <w:multiLevelType w:val="hybridMultilevel"/>
    <w:tmpl w:val="F92E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2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2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0"/>
  </w:num>
  <w:num w:numId="4">
    <w:abstractNumId w:val="28"/>
  </w:num>
  <w:num w:numId="5">
    <w:abstractNumId w:val="20"/>
  </w:num>
  <w:num w:numId="6">
    <w:abstractNumId w:val="13"/>
  </w:num>
  <w:num w:numId="7">
    <w:abstractNumId w:val="15"/>
  </w:num>
  <w:num w:numId="8">
    <w:abstractNumId w:val="5"/>
  </w:num>
  <w:num w:numId="9">
    <w:abstractNumId w:val="3"/>
  </w:num>
  <w:num w:numId="10">
    <w:abstractNumId w:val="25"/>
  </w:num>
  <w:num w:numId="11">
    <w:abstractNumId w:val="9"/>
  </w:num>
  <w:num w:numId="12">
    <w:abstractNumId w:val="1"/>
  </w:num>
  <w:num w:numId="13">
    <w:abstractNumId w:val="23"/>
  </w:num>
  <w:num w:numId="14">
    <w:abstractNumId w:val="4"/>
  </w:num>
  <w:num w:numId="15">
    <w:abstractNumId w:val="33"/>
  </w:num>
  <w:num w:numId="16">
    <w:abstractNumId w:val="21"/>
  </w:num>
  <w:num w:numId="17">
    <w:abstractNumId w:val="29"/>
  </w:num>
  <w:num w:numId="18">
    <w:abstractNumId w:val="26"/>
  </w:num>
  <w:num w:numId="19">
    <w:abstractNumId w:val="10"/>
  </w:num>
  <w:num w:numId="20">
    <w:abstractNumId w:val="16"/>
  </w:num>
  <w:num w:numId="21">
    <w:abstractNumId w:val="30"/>
  </w:num>
  <w:num w:numId="22">
    <w:abstractNumId w:val="11"/>
  </w:num>
  <w:num w:numId="23">
    <w:abstractNumId w:val="32"/>
  </w:num>
  <w:num w:numId="24">
    <w:abstractNumId w:val="19"/>
  </w:num>
  <w:num w:numId="25">
    <w:abstractNumId w:val="17"/>
  </w:num>
  <w:num w:numId="26">
    <w:abstractNumId w:val="18"/>
  </w:num>
  <w:num w:numId="27">
    <w:abstractNumId w:val="12"/>
  </w:num>
  <w:num w:numId="28">
    <w:abstractNumId w:val="2"/>
  </w:num>
  <w:num w:numId="29">
    <w:abstractNumId w:val="6"/>
  </w:num>
  <w:num w:numId="30">
    <w:abstractNumId w:val="22"/>
  </w:num>
  <w:num w:numId="31">
    <w:abstractNumId w:val="24"/>
  </w:num>
  <w:num w:numId="32">
    <w:abstractNumId w:val="8"/>
  </w:num>
  <w:num w:numId="33">
    <w:abstractNumId w:val="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B1B"/>
    <w:rsid w:val="000144F9"/>
    <w:rsid w:val="00015593"/>
    <w:rsid w:val="00017B56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2C69"/>
    <w:rsid w:val="00094A1E"/>
    <w:rsid w:val="000A7923"/>
    <w:rsid w:val="000B08E1"/>
    <w:rsid w:val="000B751C"/>
    <w:rsid w:val="000D0D58"/>
    <w:rsid w:val="000D4034"/>
    <w:rsid w:val="000E0643"/>
    <w:rsid w:val="000E6D5D"/>
    <w:rsid w:val="001067B0"/>
    <w:rsid w:val="00110570"/>
    <w:rsid w:val="001310AA"/>
    <w:rsid w:val="00146CF9"/>
    <w:rsid w:val="00160B20"/>
    <w:rsid w:val="001628E4"/>
    <w:rsid w:val="00162C73"/>
    <w:rsid w:val="00174654"/>
    <w:rsid w:val="00177124"/>
    <w:rsid w:val="00181394"/>
    <w:rsid w:val="00190F1E"/>
    <w:rsid w:val="001918DF"/>
    <w:rsid w:val="001955EA"/>
    <w:rsid w:val="00197ADA"/>
    <w:rsid w:val="001A50EB"/>
    <w:rsid w:val="001B0018"/>
    <w:rsid w:val="001B639B"/>
    <w:rsid w:val="001B7D97"/>
    <w:rsid w:val="001C467D"/>
    <w:rsid w:val="001D7B78"/>
    <w:rsid w:val="001E7F9B"/>
    <w:rsid w:val="00206D26"/>
    <w:rsid w:val="002123B7"/>
    <w:rsid w:val="002133CF"/>
    <w:rsid w:val="002178E5"/>
    <w:rsid w:val="0023025C"/>
    <w:rsid w:val="002405DB"/>
    <w:rsid w:val="00247CE2"/>
    <w:rsid w:val="002655CA"/>
    <w:rsid w:val="00267C71"/>
    <w:rsid w:val="002739D7"/>
    <w:rsid w:val="00290841"/>
    <w:rsid w:val="00290F80"/>
    <w:rsid w:val="00293CED"/>
    <w:rsid w:val="002A2F7F"/>
    <w:rsid w:val="002A71BB"/>
    <w:rsid w:val="002D3263"/>
    <w:rsid w:val="002E09FC"/>
    <w:rsid w:val="002E1AF2"/>
    <w:rsid w:val="002E361A"/>
    <w:rsid w:val="002F3B40"/>
    <w:rsid w:val="002F4079"/>
    <w:rsid w:val="002F4303"/>
    <w:rsid w:val="003172FD"/>
    <w:rsid w:val="00342393"/>
    <w:rsid w:val="00347771"/>
    <w:rsid w:val="003602B9"/>
    <w:rsid w:val="00371A77"/>
    <w:rsid w:val="00386C1D"/>
    <w:rsid w:val="00394A2D"/>
    <w:rsid w:val="003A1491"/>
    <w:rsid w:val="003A4EAE"/>
    <w:rsid w:val="003A66F0"/>
    <w:rsid w:val="003B17B2"/>
    <w:rsid w:val="003B6E55"/>
    <w:rsid w:val="003F5D5E"/>
    <w:rsid w:val="00405213"/>
    <w:rsid w:val="00406E15"/>
    <w:rsid w:val="0042675E"/>
    <w:rsid w:val="004303C1"/>
    <w:rsid w:val="00436A7B"/>
    <w:rsid w:val="00446BD3"/>
    <w:rsid w:val="00447158"/>
    <w:rsid w:val="00454703"/>
    <w:rsid w:val="00461AC6"/>
    <w:rsid w:val="00462FB8"/>
    <w:rsid w:val="00473696"/>
    <w:rsid w:val="00475424"/>
    <w:rsid w:val="00475B0F"/>
    <w:rsid w:val="004857A5"/>
    <w:rsid w:val="00490044"/>
    <w:rsid w:val="00490B5F"/>
    <w:rsid w:val="004C2FD7"/>
    <w:rsid w:val="004C535D"/>
    <w:rsid w:val="004D5ABD"/>
    <w:rsid w:val="0050227B"/>
    <w:rsid w:val="005060D9"/>
    <w:rsid w:val="00513275"/>
    <w:rsid w:val="00517937"/>
    <w:rsid w:val="00520C8B"/>
    <w:rsid w:val="00520DFB"/>
    <w:rsid w:val="00523D4D"/>
    <w:rsid w:val="00541B5C"/>
    <w:rsid w:val="005573B3"/>
    <w:rsid w:val="00560114"/>
    <w:rsid w:val="00561201"/>
    <w:rsid w:val="005671B0"/>
    <w:rsid w:val="005708B6"/>
    <w:rsid w:val="00576F38"/>
    <w:rsid w:val="0058376C"/>
    <w:rsid w:val="00583C57"/>
    <w:rsid w:val="005A1897"/>
    <w:rsid w:val="005B2033"/>
    <w:rsid w:val="005B33E0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684D"/>
    <w:rsid w:val="006304F0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61D4"/>
    <w:rsid w:val="006805C0"/>
    <w:rsid w:val="0068434B"/>
    <w:rsid w:val="006C144B"/>
    <w:rsid w:val="006C2B74"/>
    <w:rsid w:val="006D2A12"/>
    <w:rsid w:val="006D5136"/>
    <w:rsid w:val="006E17AE"/>
    <w:rsid w:val="006E68F5"/>
    <w:rsid w:val="006F67F1"/>
    <w:rsid w:val="007002CF"/>
    <w:rsid w:val="00700565"/>
    <w:rsid w:val="00703494"/>
    <w:rsid w:val="00724773"/>
    <w:rsid w:val="00725E32"/>
    <w:rsid w:val="00727C8E"/>
    <w:rsid w:val="00756A4A"/>
    <w:rsid w:val="0076000E"/>
    <w:rsid w:val="0077011C"/>
    <w:rsid w:val="007773F0"/>
    <w:rsid w:val="00791F29"/>
    <w:rsid w:val="0079316A"/>
    <w:rsid w:val="007977C8"/>
    <w:rsid w:val="007A52A3"/>
    <w:rsid w:val="007A5716"/>
    <w:rsid w:val="007A74B7"/>
    <w:rsid w:val="007B0E21"/>
    <w:rsid w:val="007B785F"/>
    <w:rsid w:val="007C558D"/>
    <w:rsid w:val="007F0633"/>
    <w:rsid w:val="007F13F1"/>
    <w:rsid w:val="007F5E19"/>
    <w:rsid w:val="00806E31"/>
    <w:rsid w:val="008131E0"/>
    <w:rsid w:val="00827699"/>
    <w:rsid w:val="008462D8"/>
    <w:rsid w:val="00846D04"/>
    <w:rsid w:val="00847CBC"/>
    <w:rsid w:val="008555D2"/>
    <w:rsid w:val="00857290"/>
    <w:rsid w:val="008764EC"/>
    <w:rsid w:val="0087757D"/>
    <w:rsid w:val="00877711"/>
    <w:rsid w:val="008818E3"/>
    <w:rsid w:val="00895EDE"/>
    <w:rsid w:val="008A35A5"/>
    <w:rsid w:val="008F02F1"/>
    <w:rsid w:val="008F5B17"/>
    <w:rsid w:val="00903006"/>
    <w:rsid w:val="00903AC5"/>
    <w:rsid w:val="00906444"/>
    <w:rsid w:val="00930C15"/>
    <w:rsid w:val="00931BA3"/>
    <w:rsid w:val="00932ACD"/>
    <w:rsid w:val="009376FF"/>
    <w:rsid w:val="0094050C"/>
    <w:rsid w:val="009409F5"/>
    <w:rsid w:val="00940FBA"/>
    <w:rsid w:val="0094223A"/>
    <w:rsid w:val="00944798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2CDA"/>
    <w:rsid w:val="00A0549C"/>
    <w:rsid w:val="00A17BD5"/>
    <w:rsid w:val="00A2251F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E0FDF"/>
    <w:rsid w:val="00AF50BA"/>
    <w:rsid w:val="00B000AB"/>
    <w:rsid w:val="00B057A5"/>
    <w:rsid w:val="00B155D3"/>
    <w:rsid w:val="00B66E50"/>
    <w:rsid w:val="00B73AB7"/>
    <w:rsid w:val="00B770F1"/>
    <w:rsid w:val="00B77160"/>
    <w:rsid w:val="00BB6AD8"/>
    <w:rsid w:val="00BC1F52"/>
    <w:rsid w:val="00BC3B99"/>
    <w:rsid w:val="00BC4DE4"/>
    <w:rsid w:val="00BD3561"/>
    <w:rsid w:val="00BD48F6"/>
    <w:rsid w:val="00BE42D2"/>
    <w:rsid w:val="00BF36E1"/>
    <w:rsid w:val="00C07AC5"/>
    <w:rsid w:val="00C171A1"/>
    <w:rsid w:val="00C266B6"/>
    <w:rsid w:val="00C30B8A"/>
    <w:rsid w:val="00C30DD4"/>
    <w:rsid w:val="00C51483"/>
    <w:rsid w:val="00C546AC"/>
    <w:rsid w:val="00C66296"/>
    <w:rsid w:val="00CA7D6A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54EE2"/>
    <w:rsid w:val="00D6675C"/>
    <w:rsid w:val="00D748E2"/>
    <w:rsid w:val="00D831A4"/>
    <w:rsid w:val="00D934FF"/>
    <w:rsid w:val="00DA34E0"/>
    <w:rsid w:val="00DC395A"/>
    <w:rsid w:val="00DC4C02"/>
    <w:rsid w:val="00DC5DDB"/>
    <w:rsid w:val="00DE0D61"/>
    <w:rsid w:val="00DE1A42"/>
    <w:rsid w:val="00DE4BD3"/>
    <w:rsid w:val="00DF3E48"/>
    <w:rsid w:val="00DF401F"/>
    <w:rsid w:val="00DF6112"/>
    <w:rsid w:val="00E00460"/>
    <w:rsid w:val="00E139D2"/>
    <w:rsid w:val="00E22C73"/>
    <w:rsid w:val="00E22C74"/>
    <w:rsid w:val="00E255FB"/>
    <w:rsid w:val="00E33A93"/>
    <w:rsid w:val="00E4602B"/>
    <w:rsid w:val="00E469B9"/>
    <w:rsid w:val="00E53F29"/>
    <w:rsid w:val="00E54DD9"/>
    <w:rsid w:val="00E83B9C"/>
    <w:rsid w:val="00E8517F"/>
    <w:rsid w:val="00E879C0"/>
    <w:rsid w:val="00E93087"/>
    <w:rsid w:val="00EA081B"/>
    <w:rsid w:val="00EB33A7"/>
    <w:rsid w:val="00EB3958"/>
    <w:rsid w:val="00EB58E5"/>
    <w:rsid w:val="00EB7C8C"/>
    <w:rsid w:val="00EE2024"/>
    <w:rsid w:val="00EE525A"/>
    <w:rsid w:val="00EF2CEA"/>
    <w:rsid w:val="00EF5D54"/>
    <w:rsid w:val="00F0048C"/>
    <w:rsid w:val="00F01256"/>
    <w:rsid w:val="00F23056"/>
    <w:rsid w:val="00F256C5"/>
    <w:rsid w:val="00F32282"/>
    <w:rsid w:val="00F34CA6"/>
    <w:rsid w:val="00F40835"/>
    <w:rsid w:val="00F613FE"/>
    <w:rsid w:val="00F769B4"/>
    <w:rsid w:val="00F8032F"/>
    <w:rsid w:val="00F8053F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C16C7-1F35-4B28-BC51-0CF86292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Korneeva</cp:lastModifiedBy>
  <cp:revision>10</cp:revision>
  <cp:lastPrinted>2022-09-01T06:50:00Z</cp:lastPrinted>
  <dcterms:created xsi:type="dcterms:W3CDTF">2022-08-21T17:39:00Z</dcterms:created>
  <dcterms:modified xsi:type="dcterms:W3CDTF">2022-09-07T06:47:00Z</dcterms:modified>
</cp:coreProperties>
</file>