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D66D11">
        <w:rPr>
          <w:rStyle w:val="af5"/>
          <w:sz w:val="28"/>
          <w:u w:val="single"/>
        </w:rPr>
        <w:t>ФИЗИКА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0"/>
        <w:gridCol w:w="992"/>
        <w:gridCol w:w="992"/>
        <w:gridCol w:w="1134"/>
        <w:gridCol w:w="992"/>
        <w:gridCol w:w="1134"/>
      </w:tblGrid>
      <w:tr w:rsidR="00C97FBD" w:rsidRPr="00931BA3" w:rsidTr="00E471CD">
        <w:trPr>
          <w:cantSplit/>
          <w:tblHeader/>
        </w:trPr>
        <w:tc>
          <w:tcPr>
            <w:tcW w:w="340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2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E471CD">
        <w:trPr>
          <w:cantSplit/>
          <w:tblHeader/>
        </w:trPr>
        <w:tc>
          <w:tcPr>
            <w:tcW w:w="340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B93F08" w:rsidRPr="00931BA3" w:rsidTr="007B6F52">
        <w:tc>
          <w:tcPr>
            <w:tcW w:w="3403" w:type="dxa"/>
            <w:vAlign w:val="center"/>
          </w:tcPr>
          <w:p w:rsidR="00B93F08" w:rsidRPr="00931BA3" w:rsidRDefault="00B93F08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50" w:type="dxa"/>
            <w:vAlign w:val="center"/>
          </w:tcPr>
          <w:p w:rsidR="00B93F08" w:rsidRPr="00931BA3" w:rsidRDefault="00B93F08" w:rsidP="003B46B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288</w:t>
            </w:r>
          </w:p>
        </w:tc>
        <w:tc>
          <w:tcPr>
            <w:tcW w:w="992" w:type="dxa"/>
            <w:vAlign w:val="center"/>
          </w:tcPr>
          <w:p w:rsidR="00B93F08" w:rsidRPr="00931BA3" w:rsidRDefault="00B93F08" w:rsidP="003B46B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992" w:type="dxa"/>
            <w:vAlign w:val="center"/>
          </w:tcPr>
          <w:p w:rsidR="00B93F08" w:rsidRPr="00931BA3" w:rsidRDefault="00B93F08" w:rsidP="003B46B8">
            <w:pPr>
              <w:jc w:val="center"/>
            </w:pPr>
            <w:r>
              <w:t>263</w:t>
            </w:r>
          </w:p>
        </w:tc>
        <w:tc>
          <w:tcPr>
            <w:tcW w:w="1134" w:type="dxa"/>
            <w:vAlign w:val="center"/>
          </w:tcPr>
          <w:p w:rsidR="00B93F08" w:rsidRPr="00931BA3" w:rsidRDefault="00B93F08" w:rsidP="003B46B8">
            <w:pPr>
              <w:jc w:val="center"/>
            </w:pPr>
            <w:r>
              <w:t>100%</w:t>
            </w:r>
          </w:p>
        </w:tc>
        <w:tc>
          <w:tcPr>
            <w:tcW w:w="992" w:type="dxa"/>
            <w:vAlign w:val="center"/>
          </w:tcPr>
          <w:p w:rsidR="00B93F08" w:rsidRPr="00A95AAE" w:rsidRDefault="00DD2131" w:rsidP="00CF6CA8">
            <w:pPr>
              <w:jc w:val="center"/>
            </w:pPr>
            <w:r>
              <w:t>177</w:t>
            </w:r>
          </w:p>
        </w:tc>
        <w:tc>
          <w:tcPr>
            <w:tcW w:w="1134" w:type="dxa"/>
            <w:vAlign w:val="center"/>
          </w:tcPr>
          <w:p w:rsidR="00B93F08" w:rsidRPr="00A95AAE" w:rsidRDefault="00DD2131" w:rsidP="00E471CD">
            <w:pPr>
              <w:jc w:val="center"/>
            </w:pPr>
            <w:r>
              <w:t>100%</w:t>
            </w:r>
          </w:p>
        </w:tc>
      </w:tr>
      <w:tr w:rsidR="00B93F08" w:rsidRPr="00931BA3" w:rsidTr="00B93F08">
        <w:tc>
          <w:tcPr>
            <w:tcW w:w="3403" w:type="dxa"/>
            <w:vAlign w:val="center"/>
          </w:tcPr>
          <w:p w:rsidR="00B93F08" w:rsidRDefault="00B93F08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50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8044F">
              <w:rPr>
                <w:noProof/>
              </w:rPr>
              <w:t>17</w:t>
            </w:r>
          </w:p>
        </w:tc>
        <w:tc>
          <w:tcPr>
            <w:tcW w:w="992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8044F">
              <w:rPr>
                <w:noProof/>
              </w:rPr>
              <w:t>5,9%</w:t>
            </w:r>
          </w:p>
        </w:tc>
        <w:tc>
          <w:tcPr>
            <w:tcW w:w="992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15</w:t>
            </w:r>
          </w:p>
        </w:tc>
        <w:tc>
          <w:tcPr>
            <w:tcW w:w="1134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5,7%</w:t>
            </w:r>
          </w:p>
        </w:tc>
        <w:tc>
          <w:tcPr>
            <w:tcW w:w="992" w:type="dxa"/>
            <w:vAlign w:val="center"/>
          </w:tcPr>
          <w:p w:rsidR="00DD2131" w:rsidRPr="00931BA3" w:rsidRDefault="00DD2131" w:rsidP="00DD213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93F08" w:rsidRPr="00931BA3" w:rsidRDefault="00DD2131" w:rsidP="00E471CD">
            <w:pPr>
              <w:jc w:val="center"/>
            </w:pPr>
            <w:r>
              <w:t>5,6%</w:t>
            </w:r>
          </w:p>
        </w:tc>
      </w:tr>
      <w:tr w:rsidR="00B93F08" w:rsidRPr="00931BA3" w:rsidTr="00B93F08">
        <w:tc>
          <w:tcPr>
            <w:tcW w:w="3403" w:type="dxa"/>
            <w:vAlign w:val="center"/>
          </w:tcPr>
          <w:p w:rsidR="00B93F08" w:rsidRDefault="00B93F08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50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992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11,5%</w:t>
            </w:r>
          </w:p>
        </w:tc>
        <w:tc>
          <w:tcPr>
            <w:tcW w:w="992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134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14,4%</w:t>
            </w:r>
          </w:p>
        </w:tc>
        <w:tc>
          <w:tcPr>
            <w:tcW w:w="992" w:type="dxa"/>
            <w:vAlign w:val="center"/>
          </w:tcPr>
          <w:p w:rsidR="00B93F08" w:rsidRPr="00931BA3" w:rsidRDefault="00DD2131" w:rsidP="00DD2131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93F08" w:rsidRPr="00931BA3" w:rsidRDefault="00DD2131" w:rsidP="00E471CD">
            <w:pPr>
              <w:jc w:val="center"/>
            </w:pPr>
            <w:r>
              <w:t>11,3%</w:t>
            </w:r>
          </w:p>
        </w:tc>
      </w:tr>
      <w:tr w:rsidR="00B93F08" w:rsidRPr="00931BA3" w:rsidTr="00B93F08">
        <w:tc>
          <w:tcPr>
            <w:tcW w:w="3403" w:type="dxa"/>
            <w:vAlign w:val="center"/>
          </w:tcPr>
          <w:p w:rsidR="00B93F08" w:rsidRDefault="00B93F08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50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191</w:t>
            </w:r>
          </w:p>
        </w:tc>
        <w:tc>
          <w:tcPr>
            <w:tcW w:w="992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  <w:r w:rsidRPr="00A8044F">
              <w:rPr>
                <w:noProof/>
              </w:rPr>
              <w:t>,</w:t>
            </w:r>
            <w:r>
              <w:rPr>
                <w:noProof/>
              </w:rPr>
              <w:t>3</w:t>
            </w:r>
            <w:r w:rsidRPr="00A8044F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1</w:t>
            </w:r>
            <w:r>
              <w:rPr>
                <w:noProof/>
              </w:rPr>
              <w:t>6</w:t>
            </w:r>
            <w:r w:rsidRPr="000B4133">
              <w:rPr>
                <w:noProof/>
              </w:rPr>
              <w:t>8</w:t>
            </w:r>
          </w:p>
        </w:tc>
        <w:tc>
          <w:tcPr>
            <w:tcW w:w="1134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  <w:r w:rsidRPr="000B4133">
              <w:rPr>
                <w:noProof/>
              </w:rPr>
              <w:t>,</w:t>
            </w:r>
            <w:r>
              <w:rPr>
                <w:noProof/>
              </w:rPr>
              <w:t>9</w:t>
            </w:r>
            <w:r w:rsidRPr="000B413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B93F08" w:rsidRPr="00931BA3" w:rsidRDefault="00DD2131" w:rsidP="00CF6CA8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:rsidR="00B93F08" w:rsidRPr="00931BA3" w:rsidRDefault="00DD2131" w:rsidP="00E471CD">
            <w:pPr>
              <w:jc w:val="center"/>
            </w:pPr>
            <w:r>
              <w:t>71,2%</w:t>
            </w:r>
          </w:p>
        </w:tc>
      </w:tr>
      <w:tr w:rsidR="00B93F08" w:rsidRPr="00931BA3" w:rsidTr="00B93F08">
        <w:tc>
          <w:tcPr>
            <w:tcW w:w="3403" w:type="dxa"/>
            <w:vAlign w:val="center"/>
          </w:tcPr>
          <w:p w:rsidR="00B93F08" w:rsidRDefault="00B93F08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50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8044F">
              <w:rPr>
                <w:noProof/>
              </w:rPr>
              <w:t>47</w:t>
            </w:r>
          </w:p>
        </w:tc>
        <w:tc>
          <w:tcPr>
            <w:tcW w:w="992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8044F">
              <w:rPr>
                <w:noProof/>
              </w:rPr>
              <w:t>16,3%</w:t>
            </w:r>
          </w:p>
        </w:tc>
        <w:tc>
          <w:tcPr>
            <w:tcW w:w="992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48</w:t>
            </w:r>
          </w:p>
        </w:tc>
        <w:tc>
          <w:tcPr>
            <w:tcW w:w="1134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18,3%</w:t>
            </w:r>
          </w:p>
        </w:tc>
        <w:tc>
          <w:tcPr>
            <w:tcW w:w="992" w:type="dxa"/>
            <w:vAlign w:val="center"/>
          </w:tcPr>
          <w:p w:rsidR="00B93F08" w:rsidRPr="00A95AAE" w:rsidRDefault="00DD2131" w:rsidP="00CF6CA8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93F08" w:rsidRPr="00A95AAE" w:rsidRDefault="00DD2131" w:rsidP="00E471CD">
            <w:pPr>
              <w:jc w:val="center"/>
            </w:pPr>
            <w:r>
              <w:t>10,7%</w:t>
            </w:r>
          </w:p>
        </w:tc>
      </w:tr>
      <w:tr w:rsidR="00B93F08" w:rsidRPr="00931BA3" w:rsidTr="00B93F08">
        <w:tc>
          <w:tcPr>
            <w:tcW w:w="3403" w:type="dxa"/>
            <w:shd w:val="clear" w:color="auto" w:fill="auto"/>
            <w:vAlign w:val="center"/>
          </w:tcPr>
          <w:p w:rsidR="00B93F08" w:rsidRPr="001B0018" w:rsidRDefault="00B93F08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50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B93F08" w:rsidRPr="00A8044F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B93F08" w:rsidRPr="00931BA3" w:rsidRDefault="00DD2131" w:rsidP="00CF6CA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3F08" w:rsidRPr="00931BA3" w:rsidRDefault="00DD2131" w:rsidP="00E471CD">
            <w:pPr>
              <w:jc w:val="center"/>
            </w:pPr>
            <w:r>
              <w:t>0,6%</w:t>
            </w:r>
          </w:p>
        </w:tc>
      </w:tr>
      <w:tr w:rsidR="00B93F08" w:rsidRPr="00931BA3" w:rsidTr="00B93F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08" w:rsidRDefault="00B93F08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27705C" w:rsidRDefault="00B93F08" w:rsidP="00B93F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27705C" w:rsidRDefault="00B93F08" w:rsidP="00B93F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0B4133" w:rsidRDefault="00B93F08" w:rsidP="00B93F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B4133">
              <w:rPr>
                <w:noProof/>
              </w:rP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931BA3" w:rsidRDefault="00DD2131" w:rsidP="00CF6C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8" w:rsidRPr="00931BA3" w:rsidRDefault="00DD2131" w:rsidP="00E471CD">
            <w:pPr>
              <w:jc w:val="center"/>
            </w:pPr>
            <w:r>
              <w:t>0,6%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B02A85" w:rsidRDefault="00CF6CA8" w:rsidP="006236A4">
      <w:pPr>
        <w:jc w:val="both"/>
        <w:rPr>
          <w:szCs w:val="28"/>
          <w:u w:val="single"/>
        </w:rPr>
      </w:pPr>
      <w:r w:rsidRPr="00053F4D">
        <w:rPr>
          <w:szCs w:val="28"/>
          <w:u w:val="single"/>
        </w:rPr>
        <w:t>У</w:t>
      </w:r>
      <w:r w:rsidR="007B6F52" w:rsidRPr="00053F4D">
        <w:rPr>
          <w:szCs w:val="28"/>
          <w:u w:val="single"/>
        </w:rPr>
        <w:t>меньшило</w:t>
      </w:r>
      <w:r w:rsidRPr="00053F4D">
        <w:rPr>
          <w:szCs w:val="28"/>
          <w:u w:val="single"/>
        </w:rPr>
        <w:t>сь количество</w:t>
      </w:r>
      <w:r w:rsidR="00A95AAE" w:rsidRPr="00053F4D">
        <w:rPr>
          <w:szCs w:val="28"/>
          <w:u w:val="single"/>
        </w:rPr>
        <w:t xml:space="preserve"> </w:t>
      </w:r>
      <w:r w:rsidR="006236A4" w:rsidRPr="00053F4D">
        <w:rPr>
          <w:szCs w:val="28"/>
          <w:u w:val="single"/>
        </w:rPr>
        <w:t xml:space="preserve">участников по предмету в целом, </w:t>
      </w:r>
      <w:r w:rsidR="006A541F" w:rsidRPr="00053F4D">
        <w:rPr>
          <w:szCs w:val="28"/>
          <w:u w:val="single"/>
        </w:rPr>
        <w:t>при этом</w:t>
      </w:r>
      <w:r w:rsidR="006236A4" w:rsidRPr="00053F4D">
        <w:rPr>
          <w:szCs w:val="28"/>
          <w:u w:val="single"/>
        </w:rPr>
        <w:t xml:space="preserve"> </w:t>
      </w:r>
      <w:r w:rsidR="00A95AAE" w:rsidRPr="00053F4D">
        <w:rPr>
          <w:szCs w:val="28"/>
          <w:u w:val="single"/>
        </w:rPr>
        <w:t xml:space="preserve">в </w:t>
      </w:r>
      <w:r w:rsidR="006236A4" w:rsidRPr="00053F4D">
        <w:rPr>
          <w:szCs w:val="28"/>
          <w:u w:val="single"/>
        </w:rPr>
        <w:t>с</w:t>
      </w:r>
      <w:r w:rsidR="00A95AAE" w:rsidRPr="00053F4D">
        <w:rPr>
          <w:szCs w:val="28"/>
          <w:u w:val="single"/>
        </w:rPr>
        <w:t>равнении с</w:t>
      </w:r>
      <w:r w:rsidR="008473D7">
        <w:rPr>
          <w:szCs w:val="28"/>
          <w:u w:val="single"/>
        </w:rPr>
        <w:t xml:space="preserve"> 2019 годом в процентном соотношении </w:t>
      </w:r>
      <w:r w:rsidR="006236A4" w:rsidRPr="00053F4D">
        <w:rPr>
          <w:szCs w:val="28"/>
          <w:u w:val="single"/>
        </w:rPr>
        <w:t>произошло увеличение по категории «</w:t>
      </w:r>
      <w:r w:rsidR="006236A4" w:rsidRPr="00053F4D">
        <w:rPr>
          <w:u w:val="single"/>
        </w:rPr>
        <w:t xml:space="preserve">Выпускники СОШ» на </w:t>
      </w:r>
      <w:r w:rsidR="006A541F" w:rsidRPr="00053F4D">
        <w:rPr>
          <w:u w:val="single"/>
        </w:rPr>
        <w:t>7,3</w:t>
      </w:r>
      <w:r w:rsidR="006236A4" w:rsidRPr="00053F4D">
        <w:rPr>
          <w:u w:val="single"/>
        </w:rPr>
        <w:t>%</w:t>
      </w:r>
      <w:r w:rsidR="007B6F52" w:rsidRPr="00053F4D">
        <w:rPr>
          <w:u w:val="single"/>
        </w:rPr>
        <w:t xml:space="preserve">, при этом на </w:t>
      </w:r>
      <w:r w:rsidR="008473D7">
        <w:rPr>
          <w:u w:val="single"/>
        </w:rPr>
        <w:t>3</w:t>
      </w:r>
      <w:r w:rsidR="007B6F52" w:rsidRPr="00053F4D">
        <w:rPr>
          <w:u w:val="single"/>
        </w:rPr>
        <w:t>,</w:t>
      </w:r>
      <w:r w:rsidR="008473D7">
        <w:rPr>
          <w:u w:val="single"/>
        </w:rPr>
        <w:t>1</w:t>
      </w:r>
      <w:r w:rsidR="007B6F52" w:rsidRPr="00053F4D">
        <w:rPr>
          <w:u w:val="single"/>
        </w:rPr>
        <w:t>% уменьшилось количество</w:t>
      </w:r>
      <w:r w:rsidR="006A541F" w:rsidRPr="00053F4D">
        <w:rPr>
          <w:u w:val="single"/>
        </w:rPr>
        <w:t xml:space="preserve"> </w:t>
      </w:r>
      <w:r w:rsidR="00E20CD5" w:rsidRPr="00053F4D">
        <w:rPr>
          <w:u w:val="single"/>
        </w:rPr>
        <w:t>в категории «В</w:t>
      </w:r>
      <w:r w:rsidR="007B6F52" w:rsidRPr="00053F4D">
        <w:rPr>
          <w:u w:val="single"/>
        </w:rPr>
        <w:t>ыпускников школ с углубленным изучением предметов</w:t>
      </w:r>
      <w:r w:rsidR="00E20CD5" w:rsidRPr="00053F4D">
        <w:rPr>
          <w:u w:val="single"/>
        </w:rPr>
        <w:t>»</w:t>
      </w:r>
      <w:r w:rsidR="007B6F52" w:rsidRPr="00053F4D">
        <w:rPr>
          <w:u w:val="single"/>
        </w:rPr>
        <w:t>.</w:t>
      </w:r>
      <w:r w:rsidR="006236A4" w:rsidRPr="00053F4D">
        <w:rPr>
          <w:u w:val="single"/>
        </w:rPr>
        <w:t xml:space="preserve"> </w:t>
      </w:r>
      <w:r w:rsidR="0022380B" w:rsidRPr="00053F4D">
        <w:rPr>
          <w:u w:val="single"/>
        </w:rPr>
        <w:t xml:space="preserve">По категории «Выпускники ООШ» показатель снизился на </w:t>
      </w:r>
      <w:r w:rsidR="00E20CD5" w:rsidRPr="00053F4D">
        <w:rPr>
          <w:u w:val="single"/>
        </w:rPr>
        <w:t>7</w:t>
      </w:r>
      <w:r w:rsidR="0022380B" w:rsidRPr="00053F4D">
        <w:rPr>
          <w:u w:val="single"/>
        </w:rPr>
        <w:t>,</w:t>
      </w:r>
      <w:r w:rsidR="00E20CD5" w:rsidRPr="00053F4D">
        <w:rPr>
          <w:u w:val="single"/>
        </w:rPr>
        <w:t>6</w:t>
      </w:r>
      <w:r w:rsidR="0022380B" w:rsidRPr="00053F4D">
        <w:rPr>
          <w:u w:val="single"/>
        </w:rPr>
        <w:t xml:space="preserve">%. </w:t>
      </w:r>
      <w:r w:rsidR="006236A4" w:rsidRPr="00053F4D">
        <w:rPr>
          <w:szCs w:val="28"/>
          <w:u w:val="single"/>
        </w:rPr>
        <w:t xml:space="preserve">В </w:t>
      </w:r>
      <w:r w:rsidR="00405E68" w:rsidRPr="00053F4D">
        <w:rPr>
          <w:szCs w:val="28"/>
          <w:u w:val="single"/>
        </w:rPr>
        <w:t xml:space="preserve">этом году </w:t>
      </w:r>
      <w:r w:rsidR="00E20CD5" w:rsidRPr="00053F4D">
        <w:rPr>
          <w:szCs w:val="28"/>
          <w:u w:val="single"/>
        </w:rPr>
        <w:t>есть</w:t>
      </w:r>
      <w:r w:rsidR="006236A4" w:rsidRPr="00053F4D">
        <w:rPr>
          <w:szCs w:val="28"/>
          <w:u w:val="single"/>
        </w:rPr>
        <w:t xml:space="preserve"> участник</w:t>
      </w:r>
      <w:r w:rsidR="00E20CD5" w:rsidRPr="00053F4D">
        <w:rPr>
          <w:szCs w:val="28"/>
          <w:u w:val="single"/>
        </w:rPr>
        <w:t>и</w:t>
      </w:r>
      <w:r w:rsidR="006236A4" w:rsidRPr="00053F4D">
        <w:rPr>
          <w:szCs w:val="28"/>
          <w:u w:val="single"/>
        </w:rPr>
        <w:t xml:space="preserve"> по предмету </w:t>
      </w:r>
      <w:r w:rsidR="00B93F08" w:rsidRPr="00053F4D">
        <w:rPr>
          <w:szCs w:val="28"/>
          <w:u w:val="single"/>
        </w:rPr>
        <w:t>физика</w:t>
      </w:r>
      <w:r w:rsidR="006236A4" w:rsidRPr="00053F4D">
        <w:rPr>
          <w:szCs w:val="28"/>
          <w:u w:val="single"/>
        </w:rPr>
        <w:t>, относящи</w:t>
      </w:r>
      <w:r w:rsidR="00E20CD5" w:rsidRPr="00053F4D">
        <w:rPr>
          <w:szCs w:val="28"/>
          <w:u w:val="single"/>
        </w:rPr>
        <w:t>е</w:t>
      </w:r>
      <w:r w:rsidR="006236A4" w:rsidRPr="00053F4D">
        <w:rPr>
          <w:szCs w:val="28"/>
          <w:u w:val="single"/>
        </w:rPr>
        <w:t>ся к категории «</w:t>
      </w:r>
      <w:r w:rsidR="006236A4" w:rsidRPr="00053F4D">
        <w:rPr>
          <w:u w:val="single"/>
        </w:rPr>
        <w:t>Участники  с ограниченными возможностями здоровья»</w:t>
      </w:r>
      <w:r w:rsidR="00E20CD5" w:rsidRPr="00053F4D">
        <w:rPr>
          <w:u w:val="single"/>
        </w:rPr>
        <w:t xml:space="preserve"> - 0,6</w:t>
      </w:r>
      <w:r w:rsidR="008473D7">
        <w:rPr>
          <w:u w:val="single"/>
        </w:rPr>
        <w:t>%</w:t>
      </w:r>
      <w:r w:rsidR="007B6F52" w:rsidRPr="00053F4D">
        <w:rPr>
          <w:u w:val="single"/>
        </w:rPr>
        <w:t xml:space="preserve"> и</w:t>
      </w:r>
      <w:r w:rsidR="00EA48E0" w:rsidRPr="00053F4D">
        <w:rPr>
          <w:szCs w:val="28"/>
          <w:u w:val="single"/>
        </w:rPr>
        <w:t xml:space="preserve"> </w:t>
      </w:r>
      <w:r w:rsidR="007B6F52" w:rsidRPr="00053F4D">
        <w:rPr>
          <w:szCs w:val="28"/>
          <w:u w:val="single"/>
        </w:rPr>
        <w:t>0,</w:t>
      </w:r>
      <w:r w:rsidR="00E20CD5" w:rsidRPr="00053F4D">
        <w:rPr>
          <w:szCs w:val="28"/>
          <w:u w:val="single"/>
        </w:rPr>
        <w:t>6</w:t>
      </w:r>
      <w:r w:rsidR="007B6F52" w:rsidRPr="00053F4D">
        <w:rPr>
          <w:szCs w:val="28"/>
          <w:u w:val="single"/>
        </w:rPr>
        <w:t>% выпускников, относящи</w:t>
      </w:r>
      <w:r w:rsidR="00E20CD5" w:rsidRPr="00053F4D">
        <w:rPr>
          <w:szCs w:val="28"/>
          <w:u w:val="single"/>
        </w:rPr>
        <w:t>е</w:t>
      </w:r>
      <w:r w:rsidR="007B6F52" w:rsidRPr="00053F4D">
        <w:rPr>
          <w:szCs w:val="28"/>
          <w:u w:val="single"/>
        </w:rPr>
        <w:t xml:space="preserve">ся к категории </w:t>
      </w:r>
      <w:r w:rsidR="00EA48E0" w:rsidRPr="00053F4D">
        <w:rPr>
          <w:szCs w:val="28"/>
          <w:u w:val="single"/>
        </w:rPr>
        <w:t>«О</w:t>
      </w:r>
      <w:r w:rsidR="006236A4" w:rsidRPr="00053F4D">
        <w:rPr>
          <w:szCs w:val="28"/>
          <w:u w:val="single"/>
        </w:rPr>
        <w:t>бучающи</w:t>
      </w:r>
      <w:r w:rsidR="00EA48E0" w:rsidRPr="00053F4D">
        <w:rPr>
          <w:szCs w:val="28"/>
          <w:u w:val="single"/>
        </w:rPr>
        <w:t>е</w:t>
      </w:r>
      <w:r w:rsidR="006236A4" w:rsidRPr="00053F4D">
        <w:rPr>
          <w:szCs w:val="28"/>
          <w:u w:val="single"/>
        </w:rPr>
        <w:t>ся на дому</w:t>
      </w:r>
      <w:r w:rsidR="00EA48E0" w:rsidRPr="00053F4D">
        <w:rPr>
          <w:szCs w:val="28"/>
          <w:u w:val="single"/>
        </w:rPr>
        <w:t>»</w:t>
      </w:r>
      <w:r w:rsidR="006236A4" w:rsidRPr="00053F4D">
        <w:rPr>
          <w:szCs w:val="28"/>
          <w:u w:val="single"/>
        </w:rPr>
        <w:t>.</w:t>
      </w:r>
      <w:r w:rsidR="006236A4" w:rsidRPr="00B02A85">
        <w:rPr>
          <w:szCs w:val="28"/>
          <w:u w:val="single"/>
        </w:rPr>
        <w:t xml:space="preserve">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D66D11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15000" cy="3219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63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66D11" w:rsidRPr="00931BA3" w:rsidTr="000414FD">
        <w:trPr>
          <w:trHeight w:val="349"/>
        </w:trPr>
        <w:tc>
          <w:tcPr>
            <w:tcW w:w="1701" w:type="dxa"/>
            <w:vAlign w:val="center"/>
          </w:tcPr>
          <w:p w:rsidR="00D66D11" w:rsidRPr="00931BA3" w:rsidRDefault="00D66D11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0,0%</w:t>
            </w:r>
          </w:p>
        </w:tc>
      </w:tr>
      <w:tr w:rsidR="00D66D11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66D11" w:rsidRPr="00931BA3" w:rsidRDefault="00D66D1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111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38,5%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34,6%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36,2%</w:t>
            </w:r>
          </w:p>
        </w:tc>
      </w:tr>
      <w:tr w:rsidR="00D66D11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66D11" w:rsidRPr="00931BA3" w:rsidRDefault="00D66D1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46,5%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48,7%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45,8%</w:t>
            </w:r>
          </w:p>
        </w:tc>
      </w:tr>
      <w:tr w:rsidR="00D66D11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66D11" w:rsidRPr="00931BA3" w:rsidRDefault="00D66D11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66D11" w:rsidRPr="00A8044F" w:rsidRDefault="00D66D11" w:rsidP="003B46B8">
            <w:pPr>
              <w:jc w:val="center"/>
              <w:rPr>
                <w:bCs/>
                <w:color w:val="000000"/>
              </w:rPr>
            </w:pPr>
            <w:r w:rsidRPr="00A8044F">
              <w:rPr>
                <w:bCs/>
                <w:color w:val="000000"/>
              </w:rPr>
              <w:t>14,9%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66D11" w:rsidRPr="00654D55" w:rsidRDefault="00D66D11" w:rsidP="003B46B8">
            <w:pPr>
              <w:jc w:val="center"/>
              <w:rPr>
                <w:bCs/>
                <w:color w:val="000000"/>
              </w:rPr>
            </w:pPr>
            <w:r w:rsidRPr="00654D55">
              <w:rPr>
                <w:bCs/>
                <w:color w:val="000000"/>
              </w:rPr>
              <w:t>16,7%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iCs/>
              </w:rPr>
            </w:pPr>
            <w:r w:rsidRPr="00D66D11">
              <w:rPr>
                <w:rFonts w:eastAsia="Times New Roman"/>
                <w:bCs/>
                <w:iCs/>
              </w:rPr>
              <w:t>18,1%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EA48E0" w:rsidRDefault="00EA48E0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D66D11" w:rsidRPr="00C51483" w:rsidTr="0032365B">
        <w:trPr>
          <w:trHeight w:val="374"/>
        </w:trPr>
        <w:tc>
          <w:tcPr>
            <w:tcW w:w="852" w:type="dxa"/>
            <w:vAlign w:val="center"/>
          </w:tcPr>
          <w:p w:rsidR="00D66D11" w:rsidRPr="002178E5" w:rsidRDefault="00D66D11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D66D11" w:rsidRPr="004F5BC2" w:rsidRDefault="00D66D11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D66D11" w:rsidRPr="00D3710C" w:rsidRDefault="00D66D11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0,0%</w:t>
            </w:r>
          </w:p>
        </w:tc>
        <w:tc>
          <w:tcPr>
            <w:tcW w:w="708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42,9%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44,2%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13,0%</w:t>
            </w:r>
          </w:p>
        </w:tc>
      </w:tr>
      <w:tr w:rsidR="00D66D11" w:rsidRPr="00C51483" w:rsidTr="0032365B">
        <w:trPr>
          <w:trHeight w:val="419"/>
        </w:trPr>
        <w:tc>
          <w:tcPr>
            <w:tcW w:w="852" w:type="dxa"/>
            <w:vAlign w:val="center"/>
          </w:tcPr>
          <w:p w:rsidR="00D66D11" w:rsidRPr="002178E5" w:rsidRDefault="00D66D11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D66D11" w:rsidRPr="004F5BC2" w:rsidRDefault="00D66D11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D66D11" w:rsidRPr="00D3710C" w:rsidRDefault="00D66D11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0,0%</w:t>
            </w:r>
          </w:p>
        </w:tc>
        <w:tc>
          <w:tcPr>
            <w:tcW w:w="708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31,0%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47,0%</w:t>
            </w:r>
          </w:p>
        </w:tc>
        <w:tc>
          <w:tcPr>
            <w:tcW w:w="56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66D11">
              <w:rPr>
                <w:rFonts w:eastAsia="Times New Roman"/>
                <w:bCs/>
                <w:sz w:val="20"/>
                <w:szCs w:val="20"/>
              </w:rPr>
              <w:t>22,0%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956"/>
        <w:gridCol w:w="957"/>
        <w:gridCol w:w="957"/>
        <w:gridCol w:w="957"/>
        <w:gridCol w:w="1488"/>
        <w:gridCol w:w="1489"/>
      </w:tblGrid>
      <w:tr w:rsidR="00CE7779" w:rsidRPr="0058376C" w:rsidTr="00D3710C">
        <w:trPr>
          <w:cantSplit/>
          <w:trHeight w:val="495"/>
          <w:tblHeader/>
        </w:trPr>
        <w:tc>
          <w:tcPr>
            <w:tcW w:w="852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D3710C">
        <w:trPr>
          <w:cantSplit/>
          <w:trHeight w:val="495"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D66D11" w:rsidRPr="0058376C" w:rsidTr="00D66D11">
        <w:trPr>
          <w:trHeight w:val="397"/>
        </w:trPr>
        <w:tc>
          <w:tcPr>
            <w:tcW w:w="852" w:type="dxa"/>
            <w:vAlign w:val="center"/>
          </w:tcPr>
          <w:p w:rsidR="00D66D11" w:rsidRPr="002178E5" w:rsidRDefault="00D66D11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D11" w:rsidRPr="002178E5" w:rsidRDefault="00D66D11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4,5%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5,6%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0,6%</w:t>
            </w:r>
          </w:p>
        </w:tc>
        <w:tc>
          <w:tcPr>
            <w:tcW w:w="1488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6,2%</w:t>
            </w:r>
          </w:p>
        </w:tc>
        <w:tc>
          <w:tcPr>
            <w:tcW w:w="1489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10,7%</w:t>
            </w:r>
          </w:p>
        </w:tc>
      </w:tr>
      <w:tr w:rsidR="00D66D11" w:rsidRPr="0058376C" w:rsidTr="00D66D11">
        <w:trPr>
          <w:trHeight w:val="397"/>
        </w:trPr>
        <w:tc>
          <w:tcPr>
            <w:tcW w:w="852" w:type="dxa"/>
            <w:vAlign w:val="center"/>
          </w:tcPr>
          <w:p w:rsidR="00D66D11" w:rsidRPr="002178E5" w:rsidRDefault="00D66D11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D11" w:rsidRPr="002178E5" w:rsidRDefault="00D66D11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26,6%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31,1%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14,7%</w:t>
            </w:r>
          </w:p>
        </w:tc>
        <w:tc>
          <w:tcPr>
            <w:tcW w:w="1488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45,8%</w:t>
            </w:r>
          </w:p>
        </w:tc>
        <w:tc>
          <w:tcPr>
            <w:tcW w:w="1489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72,3%</w:t>
            </w:r>
          </w:p>
        </w:tc>
      </w:tr>
      <w:tr w:rsidR="00D66D11" w:rsidRPr="0058376C" w:rsidTr="00D66D11">
        <w:trPr>
          <w:trHeight w:val="397"/>
        </w:trPr>
        <w:tc>
          <w:tcPr>
            <w:tcW w:w="852" w:type="dxa"/>
            <w:vAlign w:val="center"/>
          </w:tcPr>
          <w:p w:rsidR="00D66D11" w:rsidRPr="002178E5" w:rsidRDefault="00D66D11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D11" w:rsidRPr="002178E5" w:rsidRDefault="00D66D11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4,0%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5,6%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1,7%</w:t>
            </w:r>
          </w:p>
        </w:tc>
        <w:tc>
          <w:tcPr>
            <w:tcW w:w="1488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7,3%</w:t>
            </w:r>
          </w:p>
        </w:tc>
        <w:tc>
          <w:tcPr>
            <w:tcW w:w="1489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11,3%</w:t>
            </w:r>
          </w:p>
        </w:tc>
      </w:tr>
      <w:tr w:rsidR="00D66D11" w:rsidRPr="0058376C" w:rsidTr="00D66D11">
        <w:trPr>
          <w:trHeight w:val="397"/>
        </w:trPr>
        <w:tc>
          <w:tcPr>
            <w:tcW w:w="852" w:type="dxa"/>
            <w:vAlign w:val="center"/>
          </w:tcPr>
          <w:p w:rsidR="00D66D11" w:rsidRPr="002178E5" w:rsidRDefault="00D66D11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D11" w:rsidRPr="002178E5" w:rsidRDefault="00D66D11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1,1%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3,4%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1,1%</w:t>
            </w:r>
          </w:p>
        </w:tc>
        <w:tc>
          <w:tcPr>
            <w:tcW w:w="1488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4,5%</w:t>
            </w:r>
          </w:p>
        </w:tc>
        <w:tc>
          <w:tcPr>
            <w:tcW w:w="1489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5,6%</w:t>
            </w:r>
          </w:p>
        </w:tc>
      </w:tr>
      <w:tr w:rsidR="00D66D11" w:rsidRPr="0058376C" w:rsidTr="00D66D11">
        <w:trPr>
          <w:trHeight w:val="397"/>
        </w:trPr>
        <w:tc>
          <w:tcPr>
            <w:tcW w:w="3120" w:type="dxa"/>
            <w:gridSpan w:val="2"/>
            <w:vAlign w:val="center"/>
          </w:tcPr>
          <w:p w:rsidR="00D66D11" w:rsidRPr="002178E5" w:rsidRDefault="00D66D11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0,0%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36,2%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45,8%</w:t>
            </w:r>
          </w:p>
        </w:tc>
        <w:tc>
          <w:tcPr>
            <w:tcW w:w="957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18,1%</w:t>
            </w:r>
          </w:p>
        </w:tc>
        <w:tc>
          <w:tcPr>
            <w:tcW w:w="1488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63,8%</w:t>
            </w:r>
          </w:p>
        </w:tc>
        <w:tc>
          <w:tcPr>
            <w:tcW w:w="1489" w:type="dxa"/>
            <w:vAlign w:val="center"/>
          </w:tcPr>
          <w:p w:rsidR="00D66D11" w:rsidRPr="00D66D11" w:rsidRDefault="00D66D11" w:rsidP="00D66D11">
            <w:pPr>
              <w:jc w:val="center"/>
              <w:rPr>
                <w:rFonts w:eastAsia="Times New Roman"/>
                <w:b/>
              </w:rPr>
            </w:pPr>
            <w:r w:rsidRPr="00D66D11">
              <w:rPr>
                <w:rFonts w:eastAsia="Times New Roman"/>
                <w:b/>
                <w:sz w:val="22"/>
                <w:szCs w:val="22"/>
              </w:rPr>
              <w:t>100,0%</w:t>
            </w:r>
          </w:p>
        </w:tc>
      </w:tr>
    </w:tbl>
    <w:p w:rsidR="00D66D11" w:rsidRDefault="00D66D11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D66D11" w:rsidRPr="00DC5DDB" w:rsidTr="00DE334D">
        <w:trPr>
          <w:trHeight w:val="385"/>
        </w:trPr>
        <w:tc>
          <w:tcPr>
            <w:tcW w:w="567" w:type="dxa"/>
            <w:vAlign w:val="center"/>
          </w:tcPr>
          <w:p w:rsidR="00D66D11" w:rsidRPr="00C6046D" w:rsidRDefault="00D66D11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D66D11" w:rsidRPr="00D66D11" w:rsidRDefault="00D66D11" w:rsidP="003B46B8">
            <w:pPr>
              <w:rPr>
                <w:rFonts w:eastAsia="Times New Roman"/>
                <w:sz w:val="22"/>
                <w:szCs w:val="22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ГБОУ СОШ "ОЦ "Южный город" пос. Придорожный</w:t>
            </w:r>
          </w:p>
        </w:tc>
        <w:tc>
          <w:tcPr>
            <w:tcW w:w="1985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82,9%</w:t>
            </w:r>
          </w:p>
        </w:tc>
        <w:tc>
          <w:tcPr>
            <w:tcW w:w="2127" w:type="dxa"/>
            <w:vAlign w:val="center"/>
          </w:tcPr>
          <w:p w:rsidR="00D66D11" w:rsidRPr="00D66D11" w:rsidRDefault="00D66D11" w:rsidP="003B46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6D11">
              <w:rPr>
                <w:rFonts w:eastAsia="Times New Roman"/>
                <w:sz w:val="22"/>
                <w:szCs w:val="22"/>
              </w:rPr>
              <w:t>100,0%</w:t>
            </w:r>
          </w:p>
        </w:tc>
      </w:tr>
    </w:tbl>
    <w:p w:rsidR="00D66D11" w:rsidRDefault="00D66D11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A541F" w:rsidRPr="00C6046D" w:rsidTr="00375E83">
        <w:trPr>
          <w:trHeight w:val="451"/>
        </w:trPr>
        <w:tc>
          <w:tcPr>
            <w:tcW w:w="567" w:type="dxa"/>
            <w:vAlign w:val="center"/>
          </w:tcPr>
          <w:p w:rsidR="006A541F" w:rsidRPr="00C6046D" w:rsidRDefault="006A541F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6A541F" w:rsidRPr="006A541F" w:rsidRDefault="006A541F" w:rsidP="003B46B8">
            <w:pPr>
              <w:rPr>
                <w:rFonts w:eastAsia="Times New Roman"/>
              </w:rPr>
            </w:pPr>
            <w:r w:rsidRPr="006A541F">
              <w:rPr>
                <w:rFonts w:eastAsia="Times New Roman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2127" w:type="dxa"/>
            <w:vAlign w:val="center"/>
          </w:tcPr>
          <w:p w:rsidR="006A541F" w:rsidRPr="006A541F" w:rsidRDefault="006A541F" w:rsidP="003B46B8">
            <w:pPr>
              <w:jc w:val="center"/>
              <w:rPr>
                <w:rFonts w:eastAsia="Times New Roman"/>
              </w:rPr>
            </w:pPr>
            <w:r w:rsidRPr="006A541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6A541F" w:rsidRPr="006A541F" w:rsidRDefault="006A541F" w:rsidP="003B46B8">
            <w:pPr>
              <w:jc w:val="center"/>
              <w:rPr>
                <w:rFonts w:eastAsia="Times New Roman"/>
              </w:rPr>
            </w:pPr>
            <w:r w:rsidRPr="006A541F">
              <w:rPr>
                <w:rFonts w:eastAsia="Times New Roman"/>
                <w:sz w:val="22"/>
                <w:szCs w:val="22"/>
              </w:rPr>
              <w:t>26,7%</w:t>
            </w:r>
          </w:p>
        </w:tc>
        <w:tc>
          <w:tcPr>
            <w:tcW w:w="2268" w:type="dxa"/>
            <w:vAlign w:val="center"/>
          </w:tcPr>
          <w:p w:rsidR="006A541F" w:rsidRPr="006A541F" w:rsidRDefault="006A541F" w:rsidP="003B46B8">
            <w:pPr>
              <w:jc w:val="center"/>
              <w:rPr>
                <w:rFonts w:eastAsia="Times New Roman"/>
              </w:rPr>
            </w:pPr>
            <w:r w:rsidRPr="006A541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bookmarkEnd w:id="4"/>
      <w:bookmarkEnd w:id="5"/>
      <w:bookmarkEnd w:id="6"/>
    </w:tbl>
    <w:p w:rsidR="006A541F" w:rsidRDefault="006A541F" w:rsidP="005B4618">
      <w:pPr>
        <w:spacing w:line="360" w:lineRule="auto"/>
        <w:jc w:val="both"/>
        <w:rPr>
          <w:b/>
        </w:rPr>
      </w:pPr>
    </w:p>
    <w:p w:rsidR="00E20CD5" w:rsidRDefault="00BE42D2" w:rsidP="005B4618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:rsidR="005B4618" w:rsidRPr="00E20CD5" w:rsidRDefault="00E20CD5" w:rsidP="005B4618">
      <w:pPr>
        <w:spacing w:line="360" w:lineRule="auto"/>
        <w:jc w:val="both"/>
        <w:rPr>
          <w:u w:val="single"/>
        </w:rPr>
      </w:pPr>
      <w:r w:rsidRPr="00E20CD5">
        <w:rPr>
          <w:u w:val="single"/>
        </w:rPr>
        <w:t>В</w:t>
      </w:r>
      <w:r w:rsidR="005B4618" w:rsidRPr="00E20CD5">
        <w:rPr>
          <w:u w:val="single"/>
        </w:rPr>
        <w:t xml:space="preserve"> Поволжском управлении </w:t>
      </w:r>
      <w:r w:rsidRPr="00E20CD5">
        <w:rPr>
          <w:u w:val="single"/>
        </w:rPr>
        <w:t>нет</w:t>
      </w:r>
      <w:r w:rsidR="005B4618" w:rsidRPr="00E20CD5">
        <w:rPr>
          <w:u w:val="single"/>
        </w:rPr>
        <w:t xml:space="preserve"> участников, получивших отметку «2»</w:t>
      </w:r>
      <w:r w:rsidRPr="00E20CD5">
        <w:rPr>
          <w:u w:val="single"/>
        </w:rPr>
        <w:t xml:space="preserve"> с 2018 года</w:t>
      </w:r>
      <w:r w:rsidR="005B4618" w:rsidRPr="00E20CD5">
        <w:rPr>
          <w:u w:val="single"/>
        </w:rPr>
        <w:t xml:space="preserve">. Количество участников, получивших максимальный </w:t>
      </w:r>
      <w:r w:rsidR="000F0CC5" w:rsidRPr="00E20CD5">
        <w:rPr>
          <w:u w:val="single"/>
        </w:rPr>
        <w:t xml:space="preserve">балл </w:t>
      </w:r>
      <w:r w:rsidR="005B4618" w:rsidRPr="00E20CD5">
        <w:rPr>
          <w:u w:val="single"/>
        </w:rPr>
        <w:t xml:space="preserve">-  </w:t>
      </w:r>
      <w:r w:rsidRPr="00E20CD5">
        <w:rPr>
          <w:u w:val="single"/>
        </w:rPr>
        <w:t xml:space="preserve">0 </w:t>
      </w:r>
      <w:r w:rsidR="005B4618" w:rsidRPr="00E20CD5">
        <w:rPr>
          <w:u w:val="single"/>
        </w:rPr>
        <w:t>человек.</w:t>
      </w:r>
    </w:p>
    <w:p w:rsidR="00F97F6F" w:rsidRPr="00F97F6F" w:rsidRDefault="00375E83" w:rsidP="00375E83">
      <w:pPr>
        <w:spacing w:line="360" w:lineRule="auto"/>
        <w:jc w:val="both"/>
        <w:rPr>
          <w:b/>
        </w:rPr>
      </w:pPr>
      <w:r w:rsidRPr="00E20CD5">
        <w:rPr>
          <w:u w:val="single"/>
        </w:rPr>
        <w:lastRenderedPageBreak/>
        <w:t>В сравнении с 20</w:t>
      </w:r>
      <w:r w:rsidR="00CB2872" w:rsidRPr="00E20CD5">
        <w:rPr>
          <w:u w:val="single"/>
        </w:rPr>
        <w:t>19</w:t>
      </w:r>
      <w:r w:rsidRPr="00E20CD5">
        <w:rPr>
          <w:u w:val="single"/>
        </w:rPr>
        <w:t xml:space="preserve"> годом по</w:t>
      </w:r>
      <w:r w:rsidR="00253B07" w:rsidRPr="00E20CD5">
        <w:rPr>
          <w:u w:val="single"/>
        </w:rPr>
        <w:t>низ</w:t>
      </w:r>
      <w:r w:rsidRPr="00E20CD5">
        <w:rPr>
          <w:u w:val="single"/>
        </w:rPr>
        <w:t xml:space="preserve">илось качество обученности по </w:t>
      </w:r>
      <w:r w:rsidR="00E20CD5" w:rsidRPr="00E20CD5">
        <w:rPr>
          <w:u w:val="single"/>
        </w:rPr>
        <w:t>физике</w:t>
      </w:r>
      <w:r w:rsidRPr="00E20CD5">
        <w:rPr>
          <w:u w:val="single"/>
        </w:rPr>
        <w:t xml:space="preserve">  выпускников 9 классов Поволжского управления на </w:t>
      </w:r>
      <w:r w:rsidR="00253B07" w:rsidRPr="00E20CD5">
        <w:rPr>
          <w:u w:val="single"/>
        </w:rPr>
        <w:t>1,</w:t>
      </w:r>
      <w:r w:rsidR="00E20CD5" w:rsidRPr="00E20CD5">
        <w:rPr>
          <w:u w:val="single"/>
        </w:rPr>
        <w:t>6</w:t>
      </w:r>
      <w:r w:rsidRPr="00E20CD5">
        <w:rPr>
          <w:u w:val="single"/>
        </w:rPr>
        <w:t>% (20</w:t>
      </w:r>
      <w:r w:rsidR="00CB2872" w:rsidRPr="00E20CD5">
        <w:rPr>
          <w:u w:val="single"/>
        </w:rPr>
        <w:t>19</w:t>
      </w:r>
      <w:r w:rsidRPr="00E20CD5">
        <w:rPr>
          <w:u w:val="single"/>
        </w:rPr>
        <w:t xml:space="preserve">г.- </w:t>
      </w:r>
      <w:r w:rsidR="00253B07" w:rsidRPr="00E20CD5">
        <w:rPr>
          <w:rFonts w:eastAsia="Times New Roman"/>
          <w:u w:val="single"/>
        </w:rPr>
        <w:t>6</w:t>
      </w:r>
      <w:r w:rsidR="00E20CD5" w:rsidRPr="00E20CD5">
        <w:rPr>
          <w:rFonts w:eastAsia="Times New Roman"/>
          <w:u w:val="single"/>
        </w:rPr>
        <w:t>5</w:t>
      </w:r>
      <w:r w:rsidR="00CB2872" w:rsidRPr="00E20CD5">
        <w:rPr>
          <w:rFonts w:eastAsia="Times New Roman"/>
          <w:u w:val="single"/>
        </w:rPr>
        <w:t>,</w:t>
      </w:r>
      <w:r w:rsidR="00E20CD5" w:rsidRPr="00E20CD5">
        <w:rPr>
          <w:rFonts w:eastAsia="Times New Roman"/>
          <w:u w:val="single"/>
        </w:rPr>
        <w:t>4</w:t>
      </w:r>
      <w:r w:rsidRPr="00E20CD5">
        <w:rPr>
          <w:rFonts w:eastAsia="Times New Roman"/>
          <w:u w:val="single"/>
        </w:rPr>
        <w:t>%)</w:t>
      </w:r>
      <w:r w:rsidR="00253B07" w:rsidRPr="00E20CD5">
        <w:rPr>
          <w:rFonts w:eastAsia="Times New Roman"/>
          <w:u w:val="single"/>
        </w:rPr>
        <w:t>, при этом</w:t>
      </w:r>
      <w:r w:rsidRPr="00E20CD5">
        <w:rPr>
          <w:rFonts w:eastAsia="Times New Roman"/>
          <w:u w:val="single"/>
        </w:rPr>
        <w:t xml:space="preserve"> уровень обученности </w:t>
      </w:r>
      <w:r w:rsidR="00253B07" w:rsidRPr="00E20CD5">
        <w:rPr>
          <w:rFonts w:eastAsia="Times New Roman"/>
          <w:u w:val="single"/>
        </w:rPr>
        <w:t xml:space="preserve">по предмету </w:t>
      </w:r>
      <w:r w:rsidR="00E20CD5" w:rsidRPr="00E20CD5">
        <w:rPr>
          <w:rFonts w:eastAsia="Times New Roman"/>
          <w:u w:val="single"/>
        </w:rPr>
        <w:t>с 2018 года</w:t>
      </w:r>
      <w:r w:rsidR="000857E3" w:rsidRPr="00E20CD5">
        <w:rPr>
          <w:rFonts w:eastAsia="Times New Roman"/>
          <w:u w:val="single"/>
        </w:rPr>
        <w:t xml:space="preserve"> составляет </w:t>
      </w:r>
      <w:r w:rsidR="00E20CD5" w:rsidRPr="00E20CD5">
        <w:rPr>
          <w:rFonts w:eastAsia="Times New Roman"/>
          <w:u w:val="single"/>
        </w:rPr>
        <w:t>100</w:t>
      </w:r>
      <w:r w:rsidR="005B4618" w:rsidRPr="00E20CD5">
        <w:rPr>
          <w:u w:val="single"/>
        </w:rPr>
        <w:t>%</w:t>
      </w:r>
      <w:r w:rsidRPr="00E20CD5">
        <w:rPr>
          <w:rFonts w:eastAsia="Times New Roman"/>
          <w:u w:val="single"/>
        </w:rPr>
        <w:t>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8" w:type="dxa"/>
        <w:tblLook w:val="04A0"/>
      </w:tblPr>
      <w:tblGrid>
        <w:gridCol w:w="881"/>
        <w:gridCol w:w="3056"/>
        <w:gridCol w:w="1133"/>
        <w:gridCol w:w="1319"/>
        <w:gridCol w:w="835"/>
        <w:gridCol w:w="836"/>
        <w:gridCol w:w="836"/>
        <w:gridCol w:w="958"/>
      </w:tblGrid>
      <w:tr w:rsidR="00BD345B" w:rsidRPr="00130B54" w:rsidTr="008C1A26">
        <w:trPr>
          <w:trHeight w:val="170"/>
          <w:tblHeader/>
        </w:trPr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Номер</w:t>
            </w:r>
          </w:p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 xml:space="preserve">задания </w:t>
            </w:r>
            <w:proofErr w:type="gramStart"/>
            <w:r w:rsidRPr="00130B54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130B54">
              <w:rPr>
                <w:rFonts w:eastAsia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Средний процент выполнения</w:t>
            </w:r>
            <w:r w:rsidRPr="00130B54">
              <w:rPr>
                <w:rStyle w:val="a6"/>
                <w:rFonts w:eastAsia="Times New Roman"/>
                <w:sz w:val="20"/>
                <w:szCs w:val="20"/>
              </w:rPr>
              <w:footnoteReference w:id="6"/>
            </w:r>
          </w:p>
        </w:tc>
        <w:tc>
          <w:tcPr>
            <w:tcW w:w="175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BD345B" w:rsidRPr="00130B54" w:rsidTr="001B7ADD">
        <w:trPr>
          <w:trHeight w:val="9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130B54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130B54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B54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130B54" w:rsidRPr="00130B54" w:rsidTr="00130B5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B54" w:rsidRPr="00130B54" w:rsidRDefault="00130B5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0B54" w:rsidRPr="00F61D36" w:rsidRDefault="00130B5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Правильно трактовать физический смысл используемых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величин, их обозначения и единицы измерения;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выделять приборы для их измерения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B54" w:rsidRPr="00F61D36" w:rsidRDefault="00130B5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B54" w:rsidRPr="00130B54" w:rsidRDefault="00130B5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74,3%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B5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B54" w:rsidRPr="00130B54" w:rsidRDefault="00130B5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60,2%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0B54" w:rsidRPr="00130B54" w:rsidRDefault="00130B5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79,0%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0B54" w:rsidRPr="00130B54" w:rsidRDefault="00130B5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90,6%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Различать словесную формулировку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и математическое выражение закона, формулы,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связывающие данную физическую величину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с другими величинами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67,9%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Распознавать проявление изученных физических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явлений, выделяя их существенные свойства/признаки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79,1%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85,2%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84,4%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Распознавать явление по его определению, описанию,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характерным признакам и на основе опытов,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демонстрирующих данное физическое явление.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Различать для данного явления основные свойства или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условия протекания явления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49,2%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46,9%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90,6%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71,8%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65,4%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40,6%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77,8%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90,6%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67,2%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39,1%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79,0%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57,6%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48,4%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56,8%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78,1%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Вычислять значение величины при анализе явлений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законов и формул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68,9%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48,4%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75,3%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93,8%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Описывать изменения физических величин при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протекании физических явлений и процессов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75,4%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75,3%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89,1%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Описывать изменения физических величин при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протекании физических явлений и процессов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58,2%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40,6%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60,5%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Описывать свойства тел, физические явления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процессы, используя физические величины,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физические законы и принципы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(анализ графиков,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таблиц и схем)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76,6%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82,7%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96,9%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Описывать свойства тел, физические явления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процессы, используя физические величины,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физические законы и принципы (анализ графиков,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таблиц и схем)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66,1%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53,1%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70,4%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81,3%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Проводить прямые измерения физических величин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 использованием измерительных приборов, правильно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составлять схемы включения прибора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в экспериментальную установку, проводить серию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измерений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40,7%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45,7%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Анализировать отдельные этапы проведения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исследования на основе его описания: делать выводы на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основе описания исследования, интерпретировать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результаты наблюдений и опытов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73,4%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79,0%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87,5%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Проводить косвенные измерения физических величин,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исследование зависимостей между величинами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(экспериментальное задание на реальном оборудовании)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77,2%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57,8%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85,2%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95,8%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Различать явления и закономерности, лежащие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в основе принципа действия машин, приборов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технических устройств. Приводить примеры вклада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отечественных и зарубежных учёных-физиков в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разви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тие науки, объяснение процессов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окружающего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мира, в развитие техники и технологий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69,5%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72,2%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84,4%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Интерпретировать информацию физического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содержания, отвечать на вопросы с использованием явно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и неявно заданной информации. Преобразовывать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информацию из одной знаковой системы в другую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70,9%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64,1%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74,1%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76,6%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52,3%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30,5%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65,4%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Объяснять физические процессы и свойства тел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48,9%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23,4%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57,4%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78,1%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Объяснять физические процессы и свойства тел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30,2%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35,8%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51,6%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Решать расчётные задачи, используя законы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формулы, связывающие физические величины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42,2%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52,3%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86,5%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Решать расчётные задачи, используя законы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формулы, связывающие физические величины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(комбинированная задача)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28,0%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86,5%</w:t>
            </w:r>
          </w:p>
        </w:tc>
      </w:tr>
      <w:tr w:rsidR="007E4B04" w:rsidRPr="00130B54" w:rsidTr="007E4B04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0414FD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F61D3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61D36">
              <w:rPr>
                <w:rFonts w:eastAsia="Times New Roman"/>
                <w:color w:val="000000"/>
                <w:sz w:val="18"/>
                <w:szCs w:val="18"/>
              </w:rPr>
              <w:t>Решать расчётные задачи, используя законы</w:t>
            </w:r>
            <w:r w:rsidRPr="00130B5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t>и формулы, связывающие физические величины</w:t>
            </w:r>
            <w:r w:rsidRPr="00F61D36">
              <w:rPr>
                <w:rFonts w:eastAsia="Times New Roman"/>
                <w:color w:val="000000"/>
                <w:sz w:val="18"/>
                <w:szCs w:val="18"/>
              </w:rPr>
              <w:br/>
              <w:t>(комбинированная задача)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F61D36" w:rsidRDefault="007E4B04" w:rsidP="003B46B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61D36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Default="007E4B04" w:rsidP="007E4B04">
            <w:pPr>
              <w:jc w:val="center"/>
            </w:pPr>
            <w:r w:rsidRPr="00FA67E0">
              <w:rPr>
                <w:rFonts w:eastAsia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29,6%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4B04" w:rsidRPr="00130B54" w:rsidRDefault="007E4B04" w:rsidP="00130B54">
            <w:pPr>
              <w:jc w:val="center"/>
              <w:rPr>
                <w:rFonts w:eastAsia="Times New Roman"/>
                <w:color w:val="000000"/>
              </w:rPr>
            </w:pPr>
            <w:r w:rsidRPr="00130B54">
              <w:rPr>
                <w:rFonts w:eastAsia="Times New Roman"/>
                <w:color w:val="000000"/>
                <w:sz w:val="22"/>
                <w:szCs w:val="22"/>
              </w:rPr>
              <w:t>81,3%</w:t>
            </w:r>
          </w:p>
        </w:tc>
      </w:tr>
    </w:tbl>
    <w:p w:rsidR="00B93F08" w:rsidRDefault="00B93F08" w:rsidP="000414FD">
      <w:pPr>
        <w:pStyle w:val="af8"/>
        <w:spacing w:line="360" w:lineRule="auto"/>
        <w:ind w:left="-426" w:right="-1" w:firstLine="852"/>
        <w:jc w:val="both"/>
        <w:rPr>
          <w:sz w:val="28"/>
          <w:szCs w:val="28"/>
        </w:rPr>
      </w:pP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 w:firstLine="1134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Диапазон выполнения заданий </w:t>
      </w:r>
      <w:r w:rsidRPr="00683717">
        <w:rPr>
          <w:b/>
          <w:bCs/>
          <w:color w:val="000000"/>
          <w:lang w:eastAsia="en-US"/>
        </w:rPr>
        <w:t xml:space="preserve">базового уровня </w:t>
      </w:r>
      <w:r w:rsidRPr="00683717">
        <w:rPr>
          <w:color w:val="000000"/>
          <w:lang w:eastAsia="en-US"/>
        </w:rPr>
        <w:t xml:space="preserve">сложности в 2022 году составляет от </w:t>
      </w:r>
      <w:r w:rsidR="007E4B04" w:rsidRPr="00683717">
        <w:rPr>
          <w:b/>
          <w:bCs/>
          <w:color w:val="000000"/>
          <w:lang w:eastAsia="en-US"/>
        </w:rPr>
        <w:t>40,7</w:t>
      </w:r>
      <w:r w:rsidRPr="00683717">
        <w:rPr>
          <w:b/>
          <w:bCs/>
          <w:color w:val="000000"/>
          <w:lang w:eastAsia="en-US"/>
        </w:rPr>
        <w:t>% до 7</w:t>
      </w:r>
      <w:r w:rsidR="007E4B04" w:rsidRPr="00683717">
        <w:rPr>
          <w:b/>
          <w:bCs/>
          <w:color w:val="000000"/>
          <w:lang w:eastAsia="en-US"/>
        </w:rPr>
        <w:t>9,1</w:t>
      </w:r>
      <w:r w:rsidRPr="00683717">
        <w:rPr>
          <w:b/>
          <w:bCs/>
          <w:color w:val="000000"/>
          <w:lang w:eastAsia="en-US"/>
        </w:rPr>
        <w:t xml:space="preserve">%. </w:t>
      </w:r>
      <w:r w:rsidRPr="00683717">
        <w:rPr>
          <w:color w:val="000000"/>
          <w:lang w:eastAsia="en-US"/>
        </w:rPr>
        <w:t xml:space="preserve">На уровне освоения от </w:t>
      </w:r>
      <w:r w:rsidRPr="00683717">
        <w:rPr>
          <w:b/>
          <w:bCs/>
          <w:color w:val="000000"/>
          <w:lang w:eastAsia="en-US"/>
        </w:rPr>
        <w:t xml:space="preserve">60% </w:t>
      </w:r>
      <w:r w:rsidRPr="00683717">
        <w:rPr>
          <w:color w:val="000000"/>
          <w:lang w:eastAsia="en-US"/>
        </w:rPr>
        <w:t xml:space="preserve">и выше выполнены </w:t>
      </w:r>
      <w:r w:rsidR="007E4B04" w:rsidRPr="00683717">
        <w:rPr>
          <w:color w:val="000000"/>
          <w:lang w:eastAsia="en-US"/>
        </w:rPr>
        <w:t xml:space="preserve">задания: №1 (умение правильно трактовать физический смысл используемых величин, их обозначения и единицы измерения; </w:t>
      </w:r>
      <w:proofErr w:type="gramStart"/>
      <w:r w:rsidR="007E4B04" w:rsidRPr="00683717">
        <w:rPr>
          <w:color w:val="000000"/>
          <w:lang w:eastAsia="en-US"/>
        </w:rPr>
        <w:lastRenderedPageBreak/>
        <w:t xml:space="preserve">выделять приборы для их измерения), №2 (умение различать словесную формулировку и математическое выражение закона, формулы, связывающие данную физическую величину с другими величинами), </w:t>
      </w:r>
      <w:r w:rsidRPr="00683717">
        <w:rPr>
          <w:color w:val="000000"/>
          <w:lang w:eastAsia="en-US"/>
        </w:rPr>
        <w:t xml:space="preserve">№3 (умение распознавать проявление изученных физических явлений, выделяя их существенные свойства/признаки), № 6 (механика - умение вычислять значение величины при анализе явлений с использованием законов и формул), </w:t>
      </w:r>
      <w:r w:rsidR="00B56D81" w:rsidRPr="00683717">
        <w:rPr>
          <w:color w:val="000000"/>
          <w:lang w:eastAsia="en-US"/>
        </w:rPr>
        <w:t>№ 7 на умение вычислять значение величины при анализе явлений с использованием законов</w:t>
      </w:r>
      <w:proofErr w:type="gramEnd"/>
      <w:r w:rsidR="00B56D81" w:rsidRPr="00683717">
        <w:rPr>
          <w:color w:val="000000"/>
          <w:lang w:eastAsia="en-US"/>
        </w:rPr>
        <w:t xml:space="preserve"> </w:t>
      </w:r>
      <w:proofErr w:type="gramStart"/>
      <w:r w:rsidR="00B56D81" w:rsidRPr="00683717">
        <w:rPr>
          <w:color w:val="000000"/>
          <w:lang w:eastAsia="en-US"/>
        </w:rPr>
        <w:t xml:space="preserve">и формул по теме «Тепловая физика», № 8 на умение вычислять значение величины при анализе явлений с использованием законов и формул по теме «Электродинамика», задание </w:t>
      </w:r>
      <w:r w:rsidRPr="00683717">
        <w:rPr>
          <w:color w:val="000000"/>
          <w:lang w:eastAsia="en-US"/>
        </w:rPr>
        <w:t>№10 (ядерная физика - умение вычислять значение величины при анализе явлений с использованием законов и формул)</w:t>
      </w:r>
      <w:r w:rsidR="00B56D81" w:rsidRPr="00683717">
        <w:rPr>
          <w:color w:val="000000"/>
          <w:lang w:eastAsia="en-US"/>
        </w:rPr>
        <w:t xml:space="preserve"> и задание</w:t>
      </w:r>
      <w:r w:rsidRPr="00683717">
        <w:rPr>
          <w:color w:val="000000"/>
          <w:lang w:eastAsia="en-US"/>
        </w:rPr>
        <w:t xml:space="preserve"> №11 (механика - умение описывать изменения физических величин при протекании физических явлений и процессов). </w:t>
      </w:r>
      <w:proofErr w:type="gramEnd"/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proofErr w:type="gramStart"/>
      <w:r w:rsidRPr="00683717">
        <w:rPr>
          <w:color w:val="000000"/>
          <w:lang w:eastAsia="en-US"/>
        </w:rPr>
        <w:t xml:space="preserve">На уровне освоения от 50% до 60% выполнены задания базового уровня, №4 (умение распознавать явление по его определению, описанию, характерным признакам и на основе опытов, демонстрирующих данное физическое явление и различать для данного явления основные свойства или условия протекания явления), №9 (умение вычислять значение величины при анализе явлений с использованием законов и формул по теме «Геометрическая оптика»), </w:t>
      </w:r>
      <w:r w:rsidR="00DA04B2" w:rsidRPr="00683717">
        <w:rPr>
          <w:color w:val="000000"/>
          <w:lang w:eastAsia="en-US"/>
        </w:rPr>
        <w:t>№ 18 (Различать явления</w:t>
      </w:r>
      <w:proofErr w:type="gramEnd"/>
      <w:r w:rsidR="00DA04B2" w:rsidRPr="00683717">
        <w:rPr>
          <w:color w:val="000000"/>
          <w:lang w:eastAsia="en-US"/>
        </w:rPr>
        <w:t xml:space="preserve"> и закономерности, лежащие</w:t>
      </w:r>
      <w:r w:rsidR="00DA04B2" w:rsidRPr="00683717">
        <w:rPr>
          <w:color w:val="000000"/>
          <w:lang w:eastAsia="en-US"/>
        </w:rPr>
        <w:br/>
        <w:t xml:space="preserve">в основе принципа действия машин, приборов и технических устройств) и </w:t>
      </w:r>
      <w:r w:rsidRPr="00683717">
        <w:rPr>
          <w:color w:val="000000"/>
          <w:lang w:eastAsia="en-US"/>
        </w:rPr>
        <w:t xml:space="preserve">№19 (умение интерпретировать информацию физического содержания, отвечать на вопросы с использованием явно и неявно заданной информации и преобразовывать информацию из одной знаковой системы в другую).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proofErr w:type="gramStart"/>
      <w:r w:rsidRPr="00683717">
        <w:rPr>
          <w:color w:val="000000"/>
          <w:lang w:eastAsia="en-US"/>
        </w:rPr>
        <w:t>Самым</w:t>
      </w:r>
      <w:r w:rsidR="00DA04B2" w:rsidRPr="00683717">
        <w:rPr>
          <w:color w:val="000000"/>
          <w:lang w:eastAsia="en-US"/>
        </w:rPr>
        <w:t>и</w:t>
      </w:r>
      <w:r w:rsidRPr="00683717">
        <w:rPr>
          <w:color w:val="000000"/>
          <w:lang w:eastAsia="en-US"/>
        </w:rPr>
        <w:t xml:space="preserve"> трудным</w:t>
      </w:r>
      <w:r w:rsidR="00DA04B2" w:rsidRPr="00683717">
        <w:rPr>
          <w:color w:val="000000"/>
          <w:lang w:eastAsia="en-US"/>
        </w:rPr>
        <w:t>и</w:t>
      </w:r>
      <w:r w:rsidRPr="00683717">
        <w:rPr>
          <w:color w:val="000000"/>
          <w:lang w:eastAsia="en-US"/>
        </w:rPr>
        <w:t xml:space="preserve"> из заданий первой части базового уровня оказал</w:t>
      </w:r>
      <w:r w:rsidR="00DA04B2" w:rsidRPr="00683717">
        <w:rPr>
          <w:color w:val="000000"/>
          <w:lang w:eastAsia="en-US"/>
        </w:rPr>
        <w:t>и</w:t>
      </w:r>
      <w:r w:rsidRPr="00683717">
        <w:rPr>
          <w:color w:val="000000"/>
          <w:lang w:eastAsia="en-US"/>
        </w:rPr>
        <w:t>сь</w:t>
      </w:r>
      <w:r w:rsidR="00DA04B2" w:rsidRPr="00683717">
        <w:rPr>
          <w:color w:val="000000"/>
          <w:lang w:eastAsia="en-US"/>
        </w:rPr>
        <w:t>:</w:t>
      </w:r>
      <w:r w:rsidRPr="00683717">
        <w:rPr>
          <w:color w:val="000000"/>
          <w:lang w:eastAsia="en-US"/>
        </w:rPr>
        <w:t xml:space="preserve"> задание</w:t>
      </w:r>
      <w:r w:rsidR="00DA04B2" w:rsidRPr="00683717">
        <w:rPr>
          <w:color w:val="000000"/>
          <w:lang w:eastAsia="en-US"/>
        </w:rPr>
        <w:t xml:space="preserve"> № 15, с ним справилось менее 50% учащихся (Умение проводить прямые измерения физических величин с использованием измерительных приборов, правильно составлять схемы включения прибора</w:t>
      </w:r>
      <w:r w:rsidR="00DA04B2" w:rsidRPr="00683717">
        <w:rPr>
          <w:color w:val="000000"/>
          <w:lang w:eastAsia="en-US"/>
        </w:rPr>
        <w:br/>
        <w:t>в экспериментальную установку, проводить серию измерений – 40,7%) и задание № 5 (Умение вычислять значение величины при анализе явлений с использованием законов и формул – 49,2%).</w:t>
      </w:r>
      <w:r w:rsidRPr="00683717">
        <w:rPr>
          <w:color w:val="000000"/>
          <w:lang w:eastAsia="en-US"/>
        </w:rPr>
        <w:t xml:space="preserve"> </w:t>
      </w:r>
      <w:proofErr w:type="gramEnd"/>
    </w:p>
    <w:p w:rsidR="003B46B8" w:rsidRPr="00683717" w:rsidRDefault="003B46B8" w:rsidP="00DA04B2">
      <w:pPr>
        <w:autoSpaceDE w:val="0"/>
        <w:autoSpaceDN w:val="0"/>
        <w:adjustRightInd w:val="0"/>
        <w:spacing w:line="360" w:lineRule="auto"/>
        <w:ind w:left="-426" w:firstLine="1134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Диапазон выполнения заданий </w:t>
      </w:r>
      <w:r w:rsidRPr="00683717">
        <w:rPr>
          <w:b/>
          <w:bCs/>
          <w:color w:val="000000"/>
          <w:lang w:eastAsia="en-US"/>
        </w:rPr>
        <w:t xml:space="preserve">повышенного уровня </w:t>
      </w:r>
      <w:r w:rsidRPr="00683717">
        <w:rPr>
          <w:color w:val="000000"/>
          <w:lang w:eastAsia="en-US"/>
        </w:rPr>
        <w:t xml:space="preserve">сложности в 2022 году составляет от </w:t>
      </w:r>
      <w:r w:rsidR="00AF2A4E" w:rsidRPr="00683717">
        <w:rPr>
          <w:b/>
          <w:bCs/>
          <w:color w:val="000000"/>
          <w:lang w:eastAsia="en-US"/>
        </w:rPr>
        <w:t>30</w:t>
      </w:r>
      <w:r w:rsidRPr="00683717">
        <w:rPr>
          <w:b/>
          <w:bCs/>
          <w:color w:val="000000"/>
          <w:lang w:eastAsia="en-US"/>
        </w:rPr>
        <w:t>,</w:t>
      </w:r>
      <w:r w:rsidR="00AF2A4E" w:rsidRPr="00683717">
        <w:rPr>
          <w:b/>
          <w:bCs/>
          <w:color w:val="000000"/>
          <w:lang w:eastAsia="en-US"/>
        </w:rPr>
        <w:t>2</w:t>
      </w:r>
      <w:r w:rsidRPr="00683717">
        <w:rPr>
          <w:b/>
          <w:bCs/>
          <w:color w:val="000000"/>
          <w:lang w:eastAsia="en-US"/>
        </w:rPr>
        <w:t xml:space="preserve">% до </w:t>
      </w:r>
      <w:r w:rsidR="00AF2A4E" w:rsidRPr="00683717">
        <w:rPr>
          <w:b/>
          <w:bCs/>
          <w:color w:val="000000"/>
          <w:lang w:eastAsia="en-US"/>
        </w:rPr>
        <w:t>76</w:t>
      </w:r>
      <w:r w:rsidRPr="00683717">
        <w:rPr>
          <w:b/>
          <w:bCs/>
          <w:color w:val="000000"/>
          <w:lang w:eastAsia="en-US"/>
        </w:rPr>
        <w:t xml:space="preserve">,6%. </w:t>
      </w:r>
    </w:p>
    <w:p w:rsidR="003B46B8" w:rsidRPr="00683717" w:rsidRDefault="003B46B8" w:rsidP="003B46B8">
      <w:pPr>
        <w:pStyle w:val="Default"/>
        <w:spacing w:line="360" w:lineRule="auto"/>
        <w:ind w:left="-426"/>
        <w:jc w:val="both"/>
        <w:rPr>
          <w:rFonts w:eastAsiaTheme="minorHAnsi"/>
          <w:lang w:eastAsia="en-US"/>
        </w:rPr>
      </w:pPr>
      <w:r w:rsidRPr="00683717">
        <w:rPr>
          <w:rFonts w:eastAsiaTheme="minorHAnsi"/>
          <w:lang w:eastAsia="en-US"/>
        </w:rPr>
        <w:t xml:space="preserve">Задания № 13, 14, 16, 20-23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 Эти части содержат задания повышенного уровня сложности из различных разделов курса физики. </w:t>
      </w:r>
      <w:proofErr w:type="gramStart"/>
      <w:r w:rsidRPr="00683717">
        <w:rPr>
          <w:rFonts w:eastAsiaTheme="minorHAnsi"/>
          <w:lang w:eastAsia="en-US"/>
        </w:rPr>
        <w:t>Лучше всех девятиклассники ПУ справились с заданием № 13 (</w:t>
      </w:r>
      <w:r w:rsidR="00AF2A4E" w:rsidRPr="00683717">
        <w:rPr>
          <w:rFonts w:eastAsiaTheme="minorHAnsi"/>
          <w:lang w:eastAsia="en-US"/>
        </w:rPr>
        <w:t xml:space="preserve">76,6% - </w:t>
      </w:r>
      <w:r w:rsidRPr="00683717">
        <w:rPr>
          <w:rFonts w:eastAsiaTheme="minorHAnsi"/>
          <w:lang w:eastAsia="en-US"/>
        </w:rPr>
        <w:t xml:space="preserve">умение описывать свойства тел, физические явления и </w:t>
      </w:r>
      <w:r w:rsidRPr="00683717">
        <w:rPr>
          <w:rFonts w:eastAsiaTheme="minorHAnsi"/>
          <w:lang w:eastAsia="en-US"/>
        </w:rPr>
        <w:lastRenderedPageBreak/>
        <w:t xml:space="preserve">процессы, используя физические величины, физические законы и принципы (анализ графиков, таблиц и схем), </w:t>
      </w:r>
      <w:r w:rsidR="00AF2A4E" w:rsidRPr="00683717">
        <w:rPr>
          <w:rFonts w:eastAsiaTheme="minorHAnsi"/>
          <w:lang w:eastAsia="en-US"/>
        </w:rPr>
        <w:t xml:space="preserve">с </w:t>
      </w:r>
      <w:r w:rsidRPr="00683717">
        <w:rPr>
          <w:rFonts w:eastAsiaTheme="minorHAnsi"/>
          <w:lang w:eastAsia="en-US"/>
        </w:rPr>
        <w:t xml:space="preserve">заданием  </w:t>
      </w:r>
      <w:r w:rsidR="00AF2A4E" w:rsidRPr="00683717">
        <w:rPr>
          <w:rFonts w:eastAsiaTheme="minorHAnsi"/>
          <w:lang w:eastAsia="en-US"/>
        </w:rPr>
        <w:t>№ 16</w:t>
      </w:r>
      <w:r w:rsidRPr="00683717">
        <w:rPr>
          <w:rFonts w:eastAsiaTheme="minorHAnsi"/>
          <w:lang w:eastAsia="en-US"/>
        </w:rPr>
        <w:t xml:space="preserve"> (</w:t>
      </w:r>
      <w:r w:rsidR="00AF2A4E" w:rsidRPr="00683717">
        <w:rPr>
          <w:rFonts w:eastAsiaTheme="minorHAnsi"/>
          <w:lang w:eastAsia="en-US"/>
        </w:rPr>
        <w:t>73,4</w:t>
      </w:r>
      <w:r w:rsidRPr="00683717">
        <w:rPr>
          <w:rFonts w:eastAsiaTheme="minorHAnsi"/>
          <w:lang w:eastAsia="en-US"/>
        </w:rPr>
        <w:t xml:space="preserve"> % успешного выполнения). </w:t>
      </w:r>
      <w:proofErr w:type="gramEnd"/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Сложнее всего, </w:t>
      </w:r>
      <w:r w:rsidR="00AF2A4E" w:rsidRPr="00683717">
        <w:rPr>
          <w:color w:val="000000"/>
          <w:lang w:eastAsia="en-US"/>
        </w:rPr>
        <w:t>оказалось,</w:t>
      </w:r>
      <w:r w:rsidRPr="00683717">
        <w:rPr>
          <w:color w:val="000000"/>
          <w:lang w:eastAsia="en-US"/>
        </w:rPr>
        <w:t xml:space="preserve"> выполнить задание № 22 (</w:t>
      </w:r>
      <w:r w:rsidR="00AF2A4E" w:rsidRPr="00683717">
        <w:rPr>
          <w:color w:val="000000"/>
          <w:lang w:eastAsia="en-US"/>
        </w:rPr>
        <w:t>30</w:t>
      </w:r>
      <w:r w:rsidRPr="00683717">
        <w:rPr>
          <w:color w:val="000000"/>
          <w:lang w:eastAsia="en-US"/>
        </w:rPr>
        <w:t>,</w:t>
      </w:r>
      <w:r w:rsidR="00AF2A4E" w:rsidRPr="00683717">
        <w:rPr>
          <w:color w:val="000000"/>
          <w:lang w:eastAsia="en-US"/>
        </w:rPr>
        <w:t>2</w:t>
      </w:r>
      <w:r w:rsidRPr="00683717">
        <w:rPr>
          <w:color w:val="000000"/>
          <w:lang w:eastAsia="en-US"/>
        </w:rPr>
        <w:t xml:space="preserve">%) – на умение объяснять физические процессы и свойства тел. </w:t>
      </w:r>
      <w:r w:rsidR="00AF2A4E" w:rsidRPr="00683717">
        <w:rPr>
          <w:color w:val="000000"/>
          <w:lang w:eastAsia="en-US"/>
        </w:rPr>
        <w:t>Трудности возникли при решении заданий № 21 и 23, менее 50% выполнения.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 w:firstLine="1134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Диапазон выполнения заданий </w:t>
      </w:r>
      <w:r w:rsidRPr="00683717">
        <w:rPr>
          <w:b/>
          <w:bCs/>
          <w:color w:val="000000"/>
          <w:lang w:eastAsia="en-US"/>
        </w:rPr>
        <w:t xml:space="preserve">высокого уровня </w:t>
      </w:r>
      <w:r w:rsidRPr="00683717">
        <w:rPr>
          <w:color w:val="000000"/>
          <w:lang w:eastAsia="en-US"/>
        </w:rPr>
        <w:t xml:space="preserve">сложности в 2022 году составляет от </w:t>
      </w:r>
      <w:r w:rsidRPr="00683717">
        <w:rPr>
          <w:b/>
          <w:bCs/>
          <w:color w:val="000000"/>
          <w:lang w:eastAsia="en-US"/>
        </w:rPr>
        <w:t>2</w:t>
      </w:r>
      <w:r w:rsidR="00AF2A4E" w:rsidRPr="00683717">
        <w:rPr>
          <w:b/>
          <w:bCs/>
          <w:color w:val="000000"/>
          <w:lang w:eastAsia="en-US"/>
        </w:rPr>
        <w:t>8,6</w:t>
      </w:r>
      <w:r w:rsidRPr="00683717">
        <w:rPr>
          <w:b/>
          <w:bCs/>
          <w:color w:val="000000"/>
          <w:lang w:eastAsia="en-US"/>
        </w:rPr>
        <w:t xml:space="preserve">% до </w:t>
      </w:r>
      <w:r w:rsidR="00AF2A4E" w:rsidRPr="00683717">
        <w:rPr>
          <w:b/>
          <w:bCs/>
          <w:color w:val="000000"/>
          <w:lang w:eastAsia="en-US"/>
        </w:rPr>
        <w:t>77</w:t>
      </w:r>
      <w:r w:rsidRPr="00683717">
        <w:rPr>
          <w:b/>
          <w:bCs/>
          <w:color w:val="000000"/>
          <w:lang w:eastAsia="en-US"/>
        </w:rPr>
        <w:t>,</w:t>
      </w:r>
      <w:r w:rsidR="00AF2A4E" w:rsidRPr="00683717">
        <w:rPr>
          <w:b/>
          <w:bCs/>
          <w:color w:val="000000"/>
          <w:lang w:eastAsia="en-US"/>
        </w:rPr>
        <w:t>2</w:t>
      </w:r>
      <w:r w:rsidRPr="00683717">
        <w:rPr>
          <w:b/>
          <w:bCs/>
          <w:color w:val="000000"/>
          <w:lang w:eastAsia="en-US"/>
        </w:rPr>
        <w:t xml:space="preserve">%.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Задание № 17 – экспериментальная задача. Его выполнили достаточно хорошо. Процент выполнения по ней </w:t>
      </w:r>
      <w:r w:rsidR="00AF2A4E" w:rsidRPr="00683717">
        <w:rPr>
          <w:color w:val="000000"/>
          <w:lang w:eastAsia="en-US"/>
        </w:rPr>
        <w:t>77</w:t>
      </w:r>
      <w:r w:rsidRPr="00683717">
        <w:rPr>
          <w:color w:val="000000"/>
          <w:lang w:eastAsia="en-US"/>
        </w:rPr>
        <w:t>,</w:t>
      </w:r>
      <w:r w:rsidR="00AF2A4E" w:rsidRPr="00683717">
        <w:rPr>
          <w:color w:val="000000"/>
          <w:lang w:eastAsia="en-US"/>
        </w:rPr>
        <w:t>2</w:t>
      </w:r>
      <w:r w:rsidRPr="00683717">
        <w:rPr>
          <w:color w:val="000000"/>
          <w:lang w:eastAsia="en-US"/>
        </w:rPr>
        <w:t xml:space="preserve">%.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>Задание № 24 – расчетная задача с развернутым ответом (2</w:t>
      </w:r>
      <w:r w:rsidR="00AF2A4E" w:rsidRPr="00683717">
        <w:rPr>
          <w:color w:val="000000"/>
          <w:lang w:eastAsia="en-US"/>
        </w:rPr>
        <w:t>8,6</w:t>
      </w:r>
      <w:r w:rsidRPr="00683717">
        <w:rPr>
          <w:color w:val="000000"/>
          <w:lang w:eastAsia="en-US"/>
        </w:rPr>
        <w:t xml:space="preserve">%) по теме «Механика».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>Задание № 25 - расчетная задача с развернутым ответом (2</w:t>
      </w:r>
      <w:r w:rsidR="00AF2A4E" w:rsidRPr="00683717">
        <w:rPr>
          <w:color w:val="000000"/>
          <w:lang w:eastAsia="en-US"/>
        </w:rPr>
        <w:t>9</w:t>
      </w:r>
      <w:r w:rsidRPr="00683717">
        <w:rPr>
          <w:color w:val="000000"/>
          <w:lang w:eastAsia="en-US"/>
        </w:rPr>
        <w:t>,</w:t>
      </w:r>
      <w:r w:rsidR="00AF2A4E" w:rsidRPr="00683717">
        <w:rPr>
          <w:color w:val="000000"/>
          <w:lang w:eastAsia="en-US"/>
        </w:rPr>
        <w:t>0</w:t>
      </w:r>
      <w:r w:rsidRPr="00683717">
        <w:rPr>
          <w:color w:val="000000"/>
          <w:lang w:eastAsia="en-US"/>
        </w:rPr>
        <w:t xml:space="preserve">%) по теме «Электродинамика».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Основные ошибки при решении задач с кратким ответом – неумение проводить расчеты с использованием различных единиц измерения физических величин, производить математические расчеты с числами большой или малой разрядности величин. Основные ошибки при решении задач с развернутым ответом – неумение решать задачу в общем виде, неумение проводить необходимые математические преобразования, незнание единиц измерения физических величин.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 w:firstLine="1134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Таким образом, анализ результатов ОГЭ показывает в целом удовлетворительную подготовку большинства выпускников по физике. При анализе результатов выполнения экзаменационной работы также получена информация о возможных проблемах в физическом образовании обучающихся основной школы. 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Наиболее высокие результаты девятиклассники показали при выполнении заданий на </w:t>
      </w:r>
      <w:r w:rsidRPr="00683717">
        <w:rPr>
          <w:b/>
          <w:bCs/>
          <w:color w:val="000000"/>
          <w:lang w:eastAsia="en-US"/>
        </w:rPr>
        <w:t xml:space="preserve">усвоение </w:t>
      </w:r>
      <w:r w:rsidRPr="00683717">
        <w:rPr>
          <w:color w:val="000000"/>
          <w:lang w:eastAsia="en-US"/>
        </w:rPr>
        <w:t xml:space="preserve">умений и элементов содержания: </w:t>
      </w:r>
    </w:p>
    <w:p w:rsidR="003B46B8" w:rsidRPr="00683717" w:rsidRDefault="003B46B8" w:rsidP="00AF2A4E">
      <w:pPr>
        <w:pStyle w:val="Default"/>
        <w:spacing w:line="360" w:lineRule="auto"/>
        <w:ind w:left="-426"/>
        <w:jc w:val="both"/>
        <w:rPr>
          <w:rFonts w:eastAsiaTheme="minorHAnsi"/>
          <w:lang w:eastAsia="en-US"/>
        </w:rPr>
      </w:pPr>
      <w:r w:rsidRPr="00683717">
        <w:rPr>
          <w:rFonts w:eastAsiaTheme="minorHAnsi"/>
          <w:lang w:eastAsia="en-US"/>
        </w:rPr>
        <w:t xml:space="preserve">- вычислять значение физической величины с использованием изученных законов и формул в типовой учебной ситуации: ускорение тела (по закону движения тела); второй закон Ньютона; закон всемирного тяготения; кинетическая энергия; гидростатическое давление столба жидкости; количество теплоты; закон отражения света;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интерпретировать графики, отражающие зависимость физических величин, характеризующих равномерное и равноускоренное движение тела;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определять ускорение по графику зависимости проекции скорости от времени;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определять состав атома, атомного ядра и массовое и зарядовое числа ядер в ядерных реакциях;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анализировать изменения характера физических величин для следующих процессов и явлений: свободное падение; падение тела в воздухе с постоянной скоростью; движение тела по наклонной плоскости; изменение параметров, характеризующих газ в воздушном шарике; преломление света;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проводить комплексный анализ физических процессов: равноускоренное движение, представленное в виде графиков; равномерное и равноускоренное движение, представленное в </w:t>
      </w:r>
      <w:r w:rsidRPr="00683717">
        <w:rPr>
          <w:color w:val="000000"/>
          <w:lang w:eastAsia="en-US"/>
        </w:rPr>
        <w:lastRenderedPageBreak/>
        <w:t xml:space="preserve">виде графика зависимости координаты от времени; изменение агрегатных состояний вещества; возникновение индукционного тока в проводнике при движении в поле постоянного магнита; действие силы Ампера на проводник с током;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записывать показания измерительных приборов (динамометра, барометра, амперметра, вольтметра) с учетом погрешности измерений;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color w:val="000000"/>
          <w:lang w:eastAsia="en-US"/>
        </w:rPr>
        <w:t xml:space="preserve">- выбирать недостающее оборудование </w:t>
      </w:r>
      <w:proofErr w:type="gramStart"/>
      <w:r w:rsidRPr="00683717">
        <w:rPr>
          <w:color w:val="000000"/>
          <w:lang w:eastAsia="en-US"/>
        </w:rPr>
        <w:t>для</w:t>
      </w:r>
      <w:proofErr w:type="gramEnd"/>
      <w:r w:rsidRPr="00683717">
        <w:rPr>
          <w:color w:val="000000"/>
          <w:lang w:eastAsia="en-US"/>
        </w:rPr>
        <w:t xml:space="preserve"> </w:t>
      </w:r>
      <w:proofErr w:type="gramStart"/>
      <w:r w:rsidRPr="00683717">
        <w:rPr>
          <w:color w:val="000000"/>
          <w:lang w:eastAsia="en-US"/>
        </w:rPr>
        <w:t>проведение</w:t>
      </w:r>
      <w:proofErr w:type="gramEnd"/>
      <w:r w:rsidRPr="00683717">
        <w:rPr>
          <w:color w:val="000000"/>
          <w:lang w:eastAsia="en-US"/>
        </w:rPr>
        <w:t xml:space="preserve"> косвенных измерений и экспериментальную установку для проведения исследования. </w:t>
      </w:r>
    </w:p>
    <w:p w:rsidR="003B46B8" w:rsidRPr="00683717" w:rsidRDefault="003B46B8" w:rsidP="00AF2A4E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b/>
          <w:bCs/>
          <w:color w:val="000000"/>
          <w:lang w:eastAsia="en-US"/>
        </w:rPr>
        <w:t xml:space="preserve">К дефицитам </w:t>
      </w:r>
      <w:r w:rsidRPr="00683717">
        <w:rPr>
          <w:color w:val="000000"/>
          <w:lang w:eastAsia="en-US"/>
        </w:rPr>
        <w:t xml:space="preserve">можно отнести группы заданий, которые контролировали умения: </w:t>
      </w:r>
    </w:p>
    <w:p w:rsidR="00AF2A4E" w:rsidRPr="00683717" w:rsidRDefault="003B46B8" w:rsidP="00AF2A4E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>воспроизводить основные теоретические сведения по всем разделам курса физики определения понятий и физических величин; формулировки законов, зависимости физических величин; описание физических моделей, свой</w:t>
      </w:r>
      <w:proofErr w:type="gramStart"/>
      <w:r w:rsidRPr="00683717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683717">
        <w:rPr>
          <w:rFonts w:ascii="Times New Roman" w:hAnsi="Times New Roman"/>
          <w:color w:val="000000"/>
          <w:sz w:val="24"/>
          <w:szCs w:val="24"/>
        </w:rPr>
        <w:t xml:space="preserve">оцессов и явлений; </w:t>
      </w:r>
    </w:p>
    <w:p w:rsidR="00AF2A4E" w:rsidRPr="00683717" w:rsidRDefault="003B46B8" w:rsidP="00AF2A4E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3717">
        <w:rPr>
          <w:rFonts w:ascii="Times New Roman" w:eastAsiaTheme="minorHAnsi" w:hAnsi="Times New Roman"/>
          <w:sz w:val="24"/>
          <w:szCs w:val="24"/>
        </w:rPr>
        <w:t xml:space="preserve">определять значение физической величины с использованием изученных законов и формул в типовой учебной ситуации: потенциальная энергия упруго деформированной пружины; период изменения энергии при механических колебаниях; давление твердого тела; общее сопротивление участка со смешанным сопротивлением проводников; закон Ома для участка цепи (расчет цепей постоянного тока); зависимость энергии магнитного поля катушки с током от начального заряда конденсатора в колебательном контуре; </w:t>
      </w:r>
      <w:proofErr w:type="gramEnd"/>
    </w:p>
    <w:p w:rsidR="00AF2A4E" w:rsidRPr="00683717" w:rsidRDefault="003B46B8" w:rsidP="00AF2A4E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3717">
        <w:rPr>
          <w:rFonts w:ascii="Times New Roman" w:hAnsi="Times New Roman"/>
          <w:color w:val="000000"/>
          <w:sz w:val="24"/>
          <w:szCs w:val="24"/>
        </w:rPr>
        <w:t xml:space="preserve">проводить комплексный анализ физических процессов: кипение жидкости; переход насыщенного пара в ненасыщенный и обратно; изменение относительной влажности воздуха (с использованием таблицы плотности насыщенных паров); законы постоянного тока; </w:t>
      </w:r>
      <w:proofErr w:type="gramEnd"/>
    </w:p>
    <w:p w:rsidR="00AF2A4E" w:rsidRPr="00683717" w:rsidRDefault="003B46B8" w:rsidP="00AF2A4E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решать качественные задачи; </w:t>
      </w:r>
    </w:p>
    <w:p w:rsidR="00683717" w:rsidRPr="00683717" w:rsidRDefault="003B46B8" w:rsidP="00683717">
      <w:pPr>
        <w:pStyle w:val="a3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решать расчетные задачи высокого уровня сложности. </w:t>
      </w:r>
    </w:p>
    <w:p w:rsidR="00683717" w:rsidRPr="00683717" w:rsidRDefault="00683717" w:rsidP="00683717">
      <w:pPr>
        <w:pStyle w:val="a3"/>
        <w:autoSpaceDE w:val="0"/>
        <w:autoSpaceDN w:val="0"/>
        <w:adjustRightInd w:val="0"/>
        <w:spacing w:before="240" w:line="36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717" w:rsidRPr="00683717" w:rsidRDefault="00683717" w:rsidP="00683717">
      <w:pPr>
        <w:pStyle w:val="a3"/>
        <w:autoSpaceDE w:val="0"/>
        <w:autoSpaceDN w:val="0"/>
        <w:adjustRightInd w:val="0"/>
        <w:spacing w:before="240" w:line="36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717">
        <w:rPr>
          <w:rFonts w:ascii="Times New Roman" w:eastAsia="Times New Roman" w:hAnsi="Times New Roman"/>
          <w:b/>
          <w:sz w:val="24"/>
          <w:szCs w:val="24"/>
          <w:lang w:eastAsia="ru-RU"/>
        </w:rPr>
        <w:t>2.4. Рекомендации</w:t>
      </w:r>
      <w:r w:rsidRPr="00683717">
        <w:rPr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 w:rsidRPr="006837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совершенствованию методики преподавания учебного предмета</w:t>
      </w:r>
    </w:p>
    <w:p w:rsidR="00683717" w:rsidRPr="00683717" w:rsidRDefault="00683717" w:rsidP="00683717">
      <w:pPr>
        <w:pStyle w:val="a3"/>
        <w:autoSpaceDE w:val="0"/>
        <w:autoSpaceDN w:val="0"/>
        <w:adjustRightInd w:val="0"/>
        <w:spacing w:before="240" w:line="36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717"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3B46B8" w:rsidRPr="00683717" w:rsidRDefault="003B46B8" w:rsidP="00683717">
      <w:pPr>
        <w:pStyle w:val="a3"/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В целях повышения качества преподавания физики в общеобразовательных организациях в 2022-2023 учебном году: </w:t>
      </w:r>
    </w:p>
    <w:p w:rsidR="003B46B8" w:rsidRPr="00683717" w:rsidRDefault="003B46B8" w:rsidP="00AF2A4E">
      <w:pPr>
        <w:autoSpaceDE w:val="0"/>
        <w:autoSpaceDN w:val="0"/>
        <w:adjustRightInd w:val="0"/>
        <w:spacing w:before="240" w:after="240"/>
        <w:rPr>
          <w:color w:val="000000"/>
          <w:lang w:eastAsia="en-US"/>
        </w:rPr>
      </w:pPr>
      <w:r w:rsidRPr="00683717">
        <w:rPr>
          <w:b/>
          <w:bCs/>
          <w:color w:val="000000"/>
          <w:lang w:eastAsia="en-US"/>
        </w:rPr>
        <w:t xml:space="preserve">Рекомендации по совершенствованию преподавания математики всем общеобразовательным организациям Поволжского округа </w:t>
      </w:r>
    </w:p>
    <w:p w:rsidR="00130B54" w:rsidRPr="00683717" w:rsidRDefault="003B46B8" w:rsidP="003B46B8">
      <w:pPr>
        <w:pStyle w:val="af8"/>
        <w:spacing w:line="360" w:lineRule="auto"/>
        <w:ind w:left="-426" w:right="-1" w:firstLine="852"/>
        <w:jc w:val="both"/>
        <w:rPr>
          <w:sz w:val="24"/>
          <w:szCs w:val="24"/>
        </w:rPr>
      </w:pP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Для достижения положительной динамики результатов ОГЭ необходимо скорректировать учебный план ОО с учетом результатов ГИА; скорректировать календарно-тематическое планирование по физике на 2022-2023 учебный год с учетом результатов ГИА; направить учителей на курсы повышения квалификации в соответствии с выявленными </w:t>
      </w:r>
      <w:r w:rsidRPr="00683717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профессиональными дефицитами; организовать </w:t>
      </w:r>
      <w:proofErr w:type="spellStart"/>
      <w:r w:rsidRPr="00683717">
        <w:rPr>
          <w:rFonts w:eastAsiaTheme="minorHAnsi"/>
          <w:color w:val="000000"/>
          <w:sz w:val="24"/>
          <w:szCs w:val="24"/>
          <w:lang w:eastAsia="en-US"/>
        </w:rPr>
        <w:t>внутришкольную</w:t>
      </w:r>
      <w:proofErr w:type="spell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систему повышения квалификации педагогов в формате </w:t>
      </w:r>
      <w:proofErr w:type="spellStart"/>
      <w:r w:rsidRPr="00683717">
        <w:rPr>
          <w:rFonts w:eastAsiaTheme="minorHAnsi"/>
          <w:color w:val="000000"/>
          <w:sz w:val="24"/>
          <w:szCs w:val="24"/>
          <w:lang w:eastAsia="en-US"/>
        </w:rPr>
        <w:t>тьютерства</w:t>
      </w:r>
      <w:proofErr w:type="spell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и наставничества (или в рамках сетевого взаимодействия);</w:t>
      </w:r>
      <w:proofErr w:type="gram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усилить подготовку </w:t>
      </w: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обучающихся</w:t>
      </w:r>
      <w:proofErr w:type="gram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по указанным выше разделам содержания</w:t>
      </w:r>
      <w:r w:rsidRPr="0068371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Рекомендуемыми темами для обсуждения на методических объединениях учителей физики могут быть не только темы, связанные с содержанием и методами решения «проблемных» заданий, но и методические особенности подготовки обучающихся разного уровня обученности к ГИА, самоорганизация школьников, формирование метапредметных умений (оформление решения, проверка, составление плана решения задачи, владение математическим языком, построение высказываний и т.п.).</w:t>
      </w:r>
      <w:proofErr w:type="gramEnd"/>
    </w:p>
    <w:p w:rsidR="00683717" w:rsidRPr="00683717" w:rsidRDefault="00683717" w:rsidP="006837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717" w:rsidRPr="00683717" w:rsidRDefault="00683717" w:rsidP="00683717">
      <w:pPr>
        <w:pStyle w:val="Default"/>
        <w:spacing w:line="360" w:lineRule="auto"/>
        <w:ind w:left="-426"/>
        <w:jc w:val="both"/>
      </w:pPr>
      <w:r w:rsidRPr="00683717">
        <w:rPr>
          <w:rFonts w:eastAsia="Times New Roman"/>
          <w:b/>
        </w:rPr>
        <w:t>2.4.2. Рекомендации по организации дифференцированного обучения школьников с разным уровнем предметной подготовки</w:t>
      </w:r>
    </w:p>
    <w:p w:rsidR="00683717" w:rsidRPr="00683717" w:rsidRDefault="00683717" w:rsidP="00683717">
      <w:pPr>
        <w:spacing w:line="360" w:lineRule="auto"/>
        <w:jc w:val="both"/>
        <w:rPr>
          <w:b/>
        </w:rPr>
      </w:pPr>
      <w:r w:rsidRPr="00683717">
        <w:rPr>
          <w:b/>
        </w:rPr>
        <w:t>С низким уровнем предметной подготовки:</w:t>
      </w:r>
    </w:p>
    <w:p w:rsidR="003B46B8" w:rsidRPr="00683717" w:rsidRDefault="003B46B8" w:rsidP="00683717">
      <w:pPr>
        <w:pStyle w:val="Default"/>
        <w:spacing w:line="360" w:lineRule="auto"/>
        <w:ind w:left="-426"/>
        <w:jc w:val="both"/>
        <w:rPr>
          <w:rFonts w:eastAsiaTheme="minorHAnsi"/>
          <w:lang w:eastAsia="en-US"/>
        </w:rPr>
      </w:pPr>
      <w:r w:rsidRPr="00683717">
        <w:t xml:space="preserve">Для обучающихся с низким уровнем предметной подготовки следует увеличить долю индивидуальных устных ответов на уроках при проверке домашних заданий, систематически включать вопросы, проверяющие </w:t>
      </w:r>
      <w:r w:rsidRPr="00683717">
        <w:rPr>
          <w:rFonts w:eastAsiaTheme="minorHAnsi"/>
          <w:lang w:eastAsia="en-US"/>
        </w:rPr>
        <w:t xml:space="preserve">освоение теоретического материала, в контрольные работы. Следует иметь в виду, что если при первичном закреплении такие вопросы могут базироваться на простом описании одного или нескольких из изученных элементов содержания (т.е. на пересказе материала учебника), то в контрольной работе такие вопросы должны иметь характер рассуждения, а также требовать обобщения, сравнения, выводов, доказательства и т.п. Эти приемы позволят добиться более прочных теоретических знаний. </w:t>
      </w:r>
    </w:p>
    <w:p w:rsidR="00B93F08" w:rsidRPr="00683717" w:rsidRDefault="003B46B8" w:rsidP="003B46B8">
      <w:pPr>
        <w:pStyle w:val="af8"/>
        <w:spacing w:line="360" w:lineRule="auto"/>
        <w:ind w:left="-426" w:right="-1" w:firstLine="85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Необходимо обращать внимание на формирование в ходе обучения основ знаний и не форсировать продвижение вперед, пропуская или сворачивая этап введения новых понятий и методов. Важно для обеспечения понимания привлекать наглядные средства, например: </w:t>
      </w: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координатную</w:t>
      </w:r>
      <w:proofErr w:type="gram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прямую при решении задач на механическое движение, график линейной и квадратичной функций при решении задач на механическое движение; важно обучать школьников разным математическим методам решения задач. Постоянно обучать приемам самоконтроля. Иными словами, подготовка к экзамену осуществляется не в ходе массированного решения вариантов КИМ – аналогов экзаменационных работ, а в ходе всего учебного процесса и состоит в формирован</w:t>
      </w: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ии у о</w:t>
      </w:r>
      <w:proofErr w:type="gramEnd"/>
      <w:r w:rsidRPr="00683717">
        <w:rPr>
          <w:rFonts w:eastAsiaTheme="minorHAnsi"/>
          <w:color w:val="000000"/>
          <w:sz w:val="24"/>
          <w:szCs w:val="24"/>
          <w:lang w:eastAsia="en-US"/>
        </w:rPr>
        <w:t>бучающихся некоторых общих учебных действий, способствующих более эффективному усвоению изучаемых вопросов.</w:t>
      </w:r>
    </w:p>
    <w:p w:rsidR="003B46B8" w:rsidRPr="00683717" w:rsidRDefault="003B46B8" w:rsidP="003B46B8">
      <w:pPr>
        <w:pStyle w:val="af8"/>
        <w:spacing w:line="360" w:lineRule="auto"/>
        <w:ind w:left="-426" w:right="-1" w:firstLine="85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83717" w:rsidRPr="00683717" w:rsidRDefault="00683717" w:rsidP="003B46B8">
      <w:pPr>
        <w:pStyle w:val="af8"/>
        <w:spacing w:line="360" w:lineRule="auto"/>
        <w:ind w:left="-426" w:right="-1" w:firstLine="852"/>
        <w:jc w:val="both"/>
        <w:rPr>
          <w:sz w:val="24"/>
          <w:szCs w:val="24"/>
        </w:rPr>
      </w:pPr>
      <w:proofErr w:type="gramStart"/>
      <w:r w:rsidRPr="00683717">
        <w:rPr>
          <w:b/>
          <w:bCs/>
          <w:sz w:val="24"/>
          <w:szCs w:val="24"/>
        </w:rPr>
        <w:t>Обучающимся</w:t>
      </w:r>
      <w:proofErr w:type="gramEnd"/>
      <w:r w:rsidRPr="00683717">
        <w:rPr>
          <w:b/>
          <w:bCs/>
          <w:sz w:val="24"/>
          <w:szCs w:val="24"/>
        </w:rPr>
        <w:t>, которые успешно выполняют лишь задания базового уровня сложности:</w:t>
      </w:r>
    </w:p>
    <w:p w:rsidR="003B46B8" w:rsidRPr="00683717" w:rsidRDefault="003B46B8" w:rsidP="003B46B8">
      <w:pPr>
        <w:pStyle w:val="af8"/>
        <w:spacing w:line="360" w:lineRule="auto"/>
        <w:ind w:left="-426" w:right="-1" w:firstLine="852"/>
        <w:jc w:val="both"/>
        <w:rPr>
          <w:sz w:val="24"/>
          <w:szCs w:val="24"/>
        </w:rPr>
      </w:pPr>
      <w:proofErr w:type="gramStart"/>
      <w:r w:rsidRPr="00683717">
        <w:rPr>
          <w:sz w:val="24"/>
          <w:szCs w:val="24"/>
        </w:rPr>
        <w:t xml:space="preserve">Учителям физики не планировать на уроках и в домашних заданиях решение большого количества однотипных заданий по алгоритмам; не «натаскивать» на образцы решения типовых </w:t>
      </w:r>
      <w:r w:rsidRPr="00683717">
        <w:rPr>
          <w:sz w:val="24"/>
          <w:szCs w:val="24"/>
        </w:rPr>
        <w:lastRenderedPageBreak/>
        <w:t>заданий КИМ ОГЭ по физике; содействовать формированию у обучающихся позитивных эмоций в процессе физической деятельности, в том числе от нахождения ошибки в своих построениях, как источника улучшения и нового понимания.</w:t>
      </w:r>
      <w:proofErr w:type="gramEnd"/>
      <w:r w:rsidRPr="00683717">
        <w:rPr>
          <w:sz w:val="24"/>
          <w:szCs w:val="24"/>
        </w:rPr>
        <w:t xml:space="preserve"> Развивать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 способности к постижению основ физических моделей реального объекта или процесса, готовности к применению внутренней (мысленной) модели физической ситуации (включая пространственный образ); умения пользоваться заданной физической модели, оценивать возможный результат моделирования (например - вычисления); стимулировать решение заданий всеми обучающимися различными способами, в том числе нестандартных практических задач, требующих умения сопоставлять и исследовать модели с реальной ситуацией, в том числе, используя житейский опыт; на уроках физики больше внимания уделять развитию вычислительной культуры обучающихся (устные и письменные вычисления, прикидка и оценка полученного результата и др.); систематически на уроках физики и в домашних заданиях (в части по выбору) предлагать </w:t>
      </w:r>
      <w:proofErr w:type="gramStart"/>
      <w:r w:rsidRPr="00683717">
        <w:rPr>
          <w:sz w:val="24"/>
          <w:szCs w:val="24"/>
        </w:rPr>
        <w:t>обучающимся</w:t>
      </w:r>
      <w:proofErr w:type="gramEnd"/>
      <w:r w:rsidRPr="00683717">
        <w:rPr>
          <w:sz w:val="24"/>
          <w:szCs w:val="24"/>
        </w:rPr>
        <w:t xml:space="preserve"> решать разнообразные нестандартные текстовые задачи, задачи на смекалку, а также задания повышенной сложности, подобные олимпиадным. Это послужит развитию познавательного интереса и позволит выявить как творческий потенциал каждого школьника, определить наиболее способных к физике школьников и выстроить индивидуальную образовательную траекторию.</w:t>
      </w:r>
    </w:p>
    <w:p w:rsidR="00683717" w:rsidRPr="00683717" w:rsidRDefault="00683717" w:rsidP="00683717">
      <w:pPr>
        <w:spacing w:line="360" w:lineRule="auto"/>
        <w:jc w:val="both"/>
        <w:rPr>
          <w:b/>
        </w:rPr>
      </w:pPr>
      <w:r w:rsidRPr="00683717">
        <w:rPr>
          <w:b/>
        </w:rPr>
        <w:t>С повышенным уровнем предметной подготовки:</w:t>
      </w:r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proofErr w:type="gramStart"/>
      <w:r w:rsidRPr="00683717">
        <w:rPr>
          <w:color w:val="000000"/>
          <w:lang w:eastAsia="en-US"/>
        </w:rPr>
        <w:t>Особое внимание обучающимся с повышенным уровнем подготовки обратить на задания второй части - №№ 20–25.</w:t>
      </w:r>
      <w:proofErr w:type="gramEnd"/>
      <w:r w:rsidRPr="00683717">
        <w:rPr>
          <w:color w:val="000000"/>
          <w:lang w:eastAsia="en-US"/>
        </w:rPr>
        <w:t xml:space="preserve"> Необходимо изучить критерии оценивания этих заданий, особенно требования к полному верному ответу. </w:t>
      </w:r>
    </w:p>
    <w:p w:rsidR="003B46B8" w:rsidRPr="00683717" w:rsidRDefault="003B46B8" w:rsidP="003B46B8">
      <w:pPr>
        <w:pStyle w:val="af8"/>
        <w:spacing w:line="360" w:lineRule="auto"/>
        <w:ind w:left="-426" w:right="-1" w:firstLine="852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Совместно с обучающимися: проводить анализ учебных и жизненных ситуаций, в которых можно применить физическую модель и математические инструменты (например, динамические таблицы), и то же - для идеализированных (задачных) ситуаций, описанных в тексте задания; проводить доказательные рассуждения при решении текстовых (качественных) задач, оценивать логическую правильность рассуждений, распознавать ошибочные заключения в более сложных ситуациях.</w:t>
      </w:r>
      <w:proofErr w:type="gramEnd"/>
      <w:r w:rsidRPr="0068371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683717">
        <w:rPr>
          <w:rFonts w:eastAsiaTheme="minorHAnsi"/>
          <w:color w:val="000000"/>
          <w:sz w:val="24"/>
          <w:szCs w:val="24"/>
          <w:lang w:eastAsia="en-US"/>
        </w:rPr>
        <w:t>Включать в процесс обучения математике ресурсы информационной образовательной среды по физике (ЭФУ, электронные приложения и специальные учебные пособия к УМК физике) для расширения возможностей успешного освоения курса математики на уроках математики обучающимся с различным уровнем математической подготовки и потребностями в физике.</w:t>
      </w:r>
      <w:proofErr w:type="gramEnd"/>
    </w:p>
    <w:p w:rsidR="003B46B8" w:rsidRPr="00683717" w:rsidRDefault="003B46B8" w:rsidP="003B46B8">
      <w:pPr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lang w:eastAsia="en-US"/>
        </w:rPr>
      </w:pPr>
      <w:r w:rsidRPr="00683717">
        <w:rPr>
          <w:b/>
          <w:bCs/>
          <w:i/>
          <w:iCs/>
          <w:color w:val="000000"/>
          <w:lang w:eastAsia="en-US"/>
        </w:rPr>
        <w:t xml:space="preserve">Методическую помощь учителям </w:t>
      </w:r>
      <w:r w:rsidRPr="00683717">
        <w:rPr>
          <w:color w:val="000000"/>
          <w:lang w:eastAsia="en-US"/>
        </w:rPr>
        <w:t>и обучающимся при подготовке к ОГЭ могут оказать материалы с сайта ФИПИ (</w:t>
      </w:r>
      <w:proofErr w:type="spellStart"/>
      <w:r w:rsidRPr="00683717">
        <w:rPr>
          <w:color w:val="000000"/>
          <w:lang w:eastAsia="en-US"/>
        </w:rPr>
        <w:t>www.fipi.ru</w:t>
      </w:r>
      <w:proofErr w:type="spellEnd"/>
      <w:r w:rsidRPr="00683717">
        <w:rPr>
          <w:color w:val="000000"/>
          <w:lang w:eastAsia="en-US"/>
        </w:rPr>
        <w:t xml:space="preserve">):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261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документы, определяющие структуру и содержание КИМ ОГЭ 2023 г.;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261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открытый банк заданий ОГЭ;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261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навигатор самостоятельной подготовки к ОГЭ;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261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ОГЭ;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261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</w:r>
      <w:r w:rsidRPr="00683717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</w:p>
    <w:p w:rsidR="003B46B8" w:rsidRPr="00683717" w:rsidRDefault="003B46B8" w:rsidP="003B46B8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717">
        <w:rPr>
          <w:rFonts w:ascii="Times New Roman" w:hAnsi="Times New Roman"/>
          <w:color w:val="000000"/>
          <w:sz w:val="24"/>
          <w:szCs w:val="24"/>
        </w:rPr>
        <w:t xml:space="preserve">журнал «Педагогические измерения». </w:t>
      </w:r>
    </w:p>
    <w:p w:rsidR="00296E57" w:rsidRDefault="00296E57" w:rsidP="002178E5">
      <w:pPr>
        <w:jc w:val="both"/>
        <w:rPr>
          <w:b/>
          <w:bCs/>
          <w:sz w:val="28"/>
          <w:szCs w:val="28"/>
        </w:rPr>
      </w:pPr>
    </w:p>
    <w:p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D26599" w:rsidRDefault="00D26599" w:rsidP="00D26599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D26599" w:rsidRPr="004C05E8" w:rsidRDefault="00C7559A" w:rsidP="00D26599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D26599" w:rsidRPr="004C05E8">
          <w:rPr>
            <w:rStyle w:val="afa"/>
            <w:sz w:val="24"/>
            <w:szCs w:val="24"/>
          </w:rPr>
          <w:t>https://pumonso.ru/</w:t>
        </w:r>
      </w:hyperlink>
      <w:r w:rsidR="00D26599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D26599" w:rsidRDefault="00C7559A" w:rsidP="00D26599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D26599" w:rsidRPr="004C05E8">
          <w:rPr>
            <w:rStyle w:val="afa"/>
            <w:sz w:val="24"/>
            <w:szCs w:val="24"/>
          </w:rPr>
          <w:t>https://www.rc-nsk.ru/</w:t>
        </w:r>
      </w:hyperlink>
      <w:r w:rsidR="00D26599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D26599" w:rsidRDefault="00D26599" w:rsidP="00D26599">
      <w:pPr>
        <w:pStyle w:val="a3"/>
        <w:spacing w:after="0" w:line="240" w:lineRule="auto"/>
        <w:ind w:left="0"/>
        <w:jc w:val="both"/>
      </w:pPr>
    </w:p>
    <w:p w:rsidR="00D26599" w:rsidRDefault="00D26599" w:rsidP="00D265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D26599" w:rsidRDefault="00D26599" w:rsidP="00D265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D26599" w:rsidRPr="00F8462A" w:rsidRDefault="00D26599" w:rsidP="00D26599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B93F08">
        <w:rPr>
          <w:u w:val="single"/>
        </w:rPr>
        <w:t>ФИЗИКА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bookmarkStart w:id="7" w:name="_GoBack"/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B93F08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B93F08" w:rsidRPr="00634251" w:rsidTr="00F613FE">
        <w:trPr>
          <w:trHeight w:val="750"/>
        </w:trPr>
        <w:tc>
          <w:tcPr>
            <w:tcW w:w="396" w:type="dxa"/>
          </w:tcPr>
          <w:p w:rsidR="00B93F08" w:rsidRPr="00634251" w:rsidRDefault="00B93F08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B93F08" w:rsidRPr="00634251" w:rsidRDefault="00B93F08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3318" w:type="dxa"/>
            <w:shd w:val="clear" w:color="auto" w:fill="auto"/>
          </w:tcPr>
          <w:p w:rsidR="00B93F08" w:rsidRPr="00634251" w:rsidRDefault="00B93F08" w:rsidP="003B46B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Землякова</w:t>
            </w:r>
            <w:proofErr w:type="spellEnd"/>
            <w:r>
              <w:rPr>
                <w:i/>
                <w:iCs/>
              </w:rPr>
              <w:t xml:space="preserve"> Светлана Борисовна,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руководитель отдела учебно-методического сопровождения</w:t>
            </w:r>
          </w:p>
        </w:tc>
        <w:tc>
          <w:tcPr>
            <w:tcW w:w="3318" w:type="dxa"/>
          </w:tcPr>
          <w:p w:rsidR="00B93F08" w:rsidRPr="00634251" w:rsidRDefault="00B93F08" w:rsidP="003B46B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Является экспертом ПК ЕГЭ по физике</w:t>
            </w:r>
          </w:p>
        </w:tc>
      </w:tr>
      <w:bookmarkEnd w:id="7"/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B8" w:rsidRDefault="003B46B8" w:rsidP="005060D9">
      <w:r>
        <w:separator/>
      </w:r>
    </w:p>
  </w:endnote>
  <w:endnote w:type="continuationSeparator" w:id="0">
    <w:p w:rsidR="003B46B8" w:rsidRDefault="003B46B8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8" w:rsidRPr="004323C9" w:rsidRDefault="00C7559A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3B46B8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8473D7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3B46B8" w:rsidRDefault="00C7559A" w:rsidP="002133CF">
        <w:pPr>
          <w:pStyle w:val="aa"/>
          <w:jc w:val="right"/>
        </w:pPr>
        <w:fldSimple w:instr=" PAGE   \* MERGEFORMAT ">
          <w:r w:rsidR="008473D7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B8" w:rsidRDefault="003B46B8" w:rsidP="005060D9">
      <w:r>
        <w:separator/>
      </w:r>
    </w:p>
  </w:footnote>
  <w:footnote w:type="continuationSeparator" w:id="0">
    <w:p w:rsidR="003B46B8" w:rsidRDefault="003B46B8" w:rsidP="005060D9">
      <w:r>
        <w:continuationSeparator/>
      </w:r>
    </w:p>
  </w:footnote>
  <w:footnote w:id="1">
    <w:p w:rsidR="003B46B8" w:rsidRDefault="003B46B8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3B46B8" w:rsidRPr="005E0053" w:rsidRDefault="003B46B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3B46B8" w:rsidRDefault="003B46B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3B46B8" w:rsidRPr="00903AC5" w:rsidRDefault="003B46B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3B46B8" w:rsidRPr="007A5716" w:rsidRDefault="003B46B8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3B46B8" w:rsidRDefault="003B46B8" w:rsidP="00BD345B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proofErr w:type="gramStart"/>
      <w:r w:rsidRPr="00D6675C">
        <w:rPr>
          <w:rFonts w:ascii="Times New Roman" w:hAnsi="Times New Roman"/>
        </w:rPr>
        <w:t>.</w:t>
      </w:r>
      <w:r>
        <w:t>.</w:t>
      </w:r>
      <w:proofErr w:type="gramEnd"/>
    </w:p>
  </w:footnote>
  <w:footnote w:id="7">
    <w:p w:rsidR="00683717" w:rsidRDefault="00683717" w:rsidP="006837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8" w:rsidRDefault="003B46B8">
    <w:pPr>
      <w:pStyle w:val="ae"/>
      <w:jc w:val="center"/>
    </w:pPr>
  </w:p>
  <w:p w:rsidR="003B46B8" w:rsidRDefault="003B46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25E2E"/>
    <w:multiLevelType w:val="hybridMultilevel"/>
    <w:tmpl w:val="AF2809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91272D0"/>
    <w:multiLevelType w:val="hybridMultilevel"/>
    <w:tmpl w:val="84981A84"/>
    <w:lvl w:ilvl="0" w:tplc="CAD025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237D1"/>
    <w:multiLevelType w:val="hybridMultilevel"/>
    <w:tmpl w:val="0004CF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CF3"/>
    <w:multiLevelType w:val="hybridMultilevel"/>
    <w:tmpl w:val="D4E00F5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2419D"/>
    <w:multiLevelType w:val="hybridMultilevel"/>
    <w:tmpl w:val="DFE87F96"/>
    <w:lvl w:ilvl="0" w:tplc="D17C0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31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609D266E"/>
    <w:multiLevelType w:val="hybridMultilevel"/>
    <w:tmpl w:val="248675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44"/>
  </w:num>
  <w:num w:numId="5">
    <w:abstractNumId w:val="32"/>
  </w:num>
  <w:num w:numId="6">
    <w:abstractNumId w:val="21"/>
  </w:num>
  <w:num w:numId="7">
    <w:abstractNumId w:val="24"/>
  </w:num>
  <w:num w:numId="8">
    <w:abstractNumId w:val="7"/>
  </w:num>
  <w:num w:numId="9">
    <w:abstractNumId w:val="4"/>
  </w:num>
  <w:num w:numId="10">
    <w:abstractNumId w:val="39"/>
  </w:num>
  <w:num w:numId="11">
    <w:abstractNumId w:val="16"/>
  </w:num>
  <w:num w:numId="12">
    <w:abstractNumId w:val="1"/>
  </w:num>
  <w:num w:numId="13">
    <w:abstractNumId w:val="36"/>
  </w:num>
  <w:num w:numId="14">
    <w:abstractNumId w:val="5"/>
  </w:num>
  <w:num w:numId="15">
    <w:abstractNumId w:val="49"/>
  </w:num>
  <w:num w:numId="16">
    <w:abstractNumId w:val="33"/>
  </w:num>
  <w:num w:numId="17">
    <w:abstractNumId w:val="45"/>
  </w:num>
  <w:num w:numId="18">
    <w:abstractNumId w:val="41"/>
  </w:num>
  <w:num w:numId="19">
    <w:abstractNumId w:val="17"/>
  </w:num>
  <w:num w:numId="20">
    <w:abstractNumId w:val="25"/>
  </w:num>
  <w:num w:numId="21">
    <w:abstractNumId w:val="46"/>
  </w:num>
  <w:num w:numId="22">
    <w:abstractNumId w:val="19"/>
  </w:num>
  <w:num w:numId="23">
    <w:abstractNumId w:val="48"/>
  </w:num>
  <w:num w:numId="24">
    <w:abstractNumId w:val="30"/>
  </w:num>
  <w:num w:numId="25">
    <w:abstractNumId w:val="26"/>
  </w:num>
  <w:num w:numId="26">
    <w:abstractNumId w:val="27"/>
  </w:num>
  <w:num w:numId="27">
    <w:abstractNumId w:val="20"/>
  </w:num>
  <w:num w:numId="28">
    <w:abstractNumId w:val="2"/>
  </w:num>
  <w:num w:numId="29">
    <w:abstractNumId w:val="13"/>
  </w:num>
  <w:num w:numId="30">
    <w:abstractNumId w:val="34"/>
  </w:num>
  <w:num w:numId="31">
    <w:abstractNumId w:val="37"/>
  </w:num>
  <w:num w:numId="32">
    <w:abstractNumId w:val="15"/>
  </w:num>
  <w:num w:numId="33">
    <w:abstractNumId w:val="12"/>
  </w:num>
  <w:num w:numId="34">
    <w:abstractNumId w:val="9"/>
  </w:num>
  <w:num w:numId="35">
    <w:abstractNumId w:val="42"/>
  </w:num>
  <w:num w:numId="36">
    <w:abstractNumId w:val="8"/>
  </w:num>
  <w:num w:numId="37">
    <w:abstractNumId w:val="11"/>
  </w:num>
  <w:num w:numId="38">
    <w:abstractNumId w:val="28"/>
  </w:num>
  <w:num w:numId="39">
    <w:abstractNumId w:val="38"/>
  </w:num>
  <w:num w:numId="40">
    <w:abstractNumId w:val="23"/>
  </w:num>
  <w:num w:numId="41">
    <w:abstractNumId w:val="40"/>
  </w:num>
  <w:num w:numId="42">
    <w:abstractNumId w:val="2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4"/>
  </w:num>
  <w:num w:numId="46">
    <w:abstractNumId w:val="35"/>
  </w:num>
  <w:num w:numId="47">
    <w:abstractNumId w:val="6"/>
  </w:num>
  <w:num w:numId="48">
    <w:abstractNumId w:val="22"/>
  </w:num>
  <w:num w:numId="49">
    <w:abstractNumId w:val="10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14FD"/>
    <w:rsid w:val="00053F4D"/>
    <w:rsid w:val="00054526"/>
    <w:rsid w:val="00054B49"/>
    <w:rsid w:val="000706C8"/>
    <w:rsid w:val="00070C53"/>
    <w:rsid w:val="000720BF"/>
    <w:rsid w:val="000816E9"/>
    <w:rsid w:val="000849F6"/>
    <w:rsid w:val="000857E3"/>
    <w:rsid w:val="0009186D"/>
    <w:rsid w:val="00094A1E"/>
    <w:rsid w:val="000958A0"/>
    <w:rsid w:val="000B632B"/>
    <w:rsid w:val="000B751C"/>
    <w:rsid w:val="000D0D58"/>
    <w:rsid w:val="000D4034"/>
    <w:rsid w:val="000E0643"/>
    <w:rsid w:val="000E6D5D"/>
    <w:rsid w:val="000E7C73"/>
    <w:rsid w:val="000F0CC5"/>
    <w:rsid w:val="001067B0"/>
    <w:rsid w:val="00110570"/>
    <w:rsid w:val="001265A2"/>
    <w:rsid w:val="00130B54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53B07"/>
    <w:rsid w:val="002577E8"/>
    <w:rsid w:val="00267C71"/>
    <w:rsid w:val="002739D7"/>
    <w:rsid w:val="00285690"/>
    <w:rsid w:val="00290841"/>
    <w:rsid w:val="00290F80"/>
    <w:rsid w:val="00293CED"/>
    <w:rsid w:val="00296E57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31FB"/>
    <w:rsid w:val="003172FD"/>
    <w:rsid w:val="0032365B"/>
    <w:rsid w:val="0035026F"/>
    <w:rsid w:val="003602B9"/>
    <w:rsid w:val="00371A77"/>
    <w:rsid w:val="00375E83"/>
    <w:rsid w:val="00386C1D"/>
    <w:rsid w:val="00394A2D"/>
    <w:rsid w:val="00394DCC"/>
    <w:rsid w:val="003A1491"/>
    <w:rsid w:val="003A4EAE"/>
    <w:rsid w:val="003A66F0"/>
    <w:rsid w:val="003B46B8"/>
    <w:rsid w:val="003B6E55"/>
    <w:rsid w:val="003F5D5E"/>
    <w:rsid w:val="00405213"/>
    <w:rsid w:val="00405E68"/>
    <w:rsid w:val="00406E15"/>
    <w:rsid w:val="004255F4"/>
    <w:rsid w:val="0042675E"/>
    <w:rsid w:val="00436A7B"/>
    <w:rsid w:val="00437836"/>
    <w:rsid w:val="00446BD3"/>
    <w:rsid w:val="00447158"/>
    <w:rsid w:val="00454703"/>
    <w:rsid w:val="00461AC6"/>
    <w:rsid w:val="00461BE5"/>
    <w:rsid w:val="00462FB8"/>
    <w:rsid w:val="00473696"/>
    <w:rsid w:val="00475424"/>
    <w:rsid w:val="00475B0F"/>
    <w:rsid w:val="00481735"/>
    <w:rsid w:val="004857A5"/>
    <w:rsid w:val="00490044"/>
    <w:rsid w:val="00490B5F"/>
    <w:rsid w:val="004C535D"/>
    <w:rsid w:val="004D5ABD"/>
    <w:rsid w:val="004F5BC2"/>
    <w:rsid w:val="0050227B"/>
    <w:rsid w:val="005060D9"/>
    <w:rsid w:val="00513275"/>
    <w:rsid w:val="0051473B"/>
    <w:rsid w:val="00517208"/>
    <w:rsid w:val="00517937"/>
    <w:rsid w:val="00520C8B"/>
    <w:rsid w:val="00520DFB"/>
    <w:rsid w:val="0052231C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35F1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7F8"/>
    <w:rsid w:val="00674C13"/>
    <w:rsid w:val="006761D4"/>
    <w:rsid w:val="006805C0"/>
    <w:rsid w:val="00683717"/>
    <w:rsid w:val="0068434B"/>
    <w:rsid w:val="006A541F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17876"/>
    <w:rsid w:val="00724773"/>
    <w:rsid w:val="00725E32"/>
    <w:rsid w:val="007536A9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6F52"/>
    <w:rsid w:val="007B785F"/>
    <w:rsid w:val="007E4B04"/>
    <w:rsid w:val="007F0633"/>
    <w:rsid w:val="007F13F1"/>
    <w:rsid w:val="007F5E19"/>
    <w:rsid w:val="00806E31"/>
    <w:rsid w:val="0082363A"/>
    <w:rsid w:val="00827699"/>
    <w:rsid w:val="008462D8"/>
    <w:rsid w:val="00846D04"/>
    <w:rsid w:val="008473D7"/>
    <w:rsid w:val="00847CBC"/>
    <w:rsid w:val="008555D2"/>
    <w:rsid w:val="00857290"/>
    <w:rsid w:val="008764EC"/>
    <w:rsid w:val="0087757D"/>
    <w:rsid w:val="00877711"/>
    <w:rsid w:val="00895EDE"/>
    <w:rsid w:val="00896109"/>
    <w:rsid w:val="008A35A5"/>
    <w:rsid w:val="008C1A26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4362"/>
    <w:rsid w:val="00A26A61"/>
    <w:rsid w:val="00A34126"/>
    <w:rsid w:val="00A343CC"/>
    <w:rsid w:val="00A61E60"/>
    <w:rsid w:val="00A67518"/>
    <w:rsid w:val="00A67C9A"/>
    <w:rsid w:val="00A72B67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C4A"/>
    <w:rsid w:val="00AE0FDF"/>
    <w:rsid w:val="00AF2A4E"/>
    <w:rsid w:val="00AF50BA"/>
    <w:rsid w:val="00AF6293"/>
    <w:rsid w:val="00B000AB"/>
    <w:rsid w:val="00B155D3"/>
    <w:rsid w:val="00B56D81"/>
    <w:rsid w:val="00B60D8D"/>
    <w:rsid w:val="00B66E50"/>
    <w:rsid w:val="00B715B1"/>
    <w:rsid w:val="00B770F1"/>
    <w:rsid w:val="00B77160"/>
    <w:rsid w:val="00B93F08"/>
    <w:rsid w:val="00BB3A68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0223"/>
    <w:rsid w:val="00C171A1"/>
    <w:rsid w:val="00C266B6"/>
    <w:rsid w:val="00C30B8A"/>
    <w:rsid w:val="00C30DD4"/>
    <w:rsid w:val="00C37FD0"/>
    <w:rsid w:val="00C47489"/>
    <w:rsid w:val="00C51483"/>
    <w:rsid w:val="00C546AC"/>
    <w:rsid w:val="00C6046D"/>
    <w:rsid w:val="00C7559A"/>
    <w:rsid w:val="00C905B9"/>
    <w:rsid w:val="00C97FBD"/>
    <w:rsid w:val="00CA54A1"/>
    <w:rsid w:val="00CA7D6A"/>
    <w:rsid w:val="00CB1705"/>
    <w:rsid w:val="00CB1E0C"/>
    <w:rsid w:val="00CB220A"/>
    <w:rsid w:val="00CB2872"/>
    <w:rsid w:val="00CB295C"/>
    <w:rsid w:val="00CB7DC3"/>
    <w:rsid w:val="00CC1774"/>
    <w:rsid w:val="00CD41F2"/>
    <w:rsid w:val="00CD6830"/>
    <w:rsid w:val="00CE7779"/>
    <w:rsid w:val="00CF3E30"/>
    <w:rsid w:val="00CF6CA8"/>
    <w:rsid w:val="00D06AB0"/>
    <w:rsid w:val="00D10CA7"/>
    <w:rsid w:val="00D116BF"/>
    <w:rsid w:val="00D26599"/>
    <w:rsid w:val="00D3710C"/>
    <w:rsid w:val="00D478AB"/>
    <w:rsid w:val="00D511D6"/>
    <w:rsid w:val="00D5462F"/>
    <w:rsid w:val="00D549F5"/>
    <w:rsid w:val="00D54EE2"/>
    <w:rsid w:val="00D6675C"/>
    <w:rsid w:val="00D66D11"/>
    <w:rsid w:val="00D67358"/>
    <w:rsid w:val="00D748E2"/>
    <w:rsid w:val="00D831A4"/>
    <w:rsid w:val="00D934FF"/>
    <w:rsid w:val="00DA04B2"/>
    <w:rsid w:val="00DA34E0"/>
    <w:rsid w:val="00DC395A"/>
    <w:rsid w:val="00DC5DDB"/>
    <w:rsid w:val="00DD2131"/>
    <w:rsid w:val="00DE0D61"/>
    <w:rsid w:val="00DE1A42"/>
    <w:rsid w:val="00DE334D"/>
    <w:rsid w:val="00DE4BD3"/>
    <w:rsid w:val="00DF3E48"/>
    <w:rsid w:val="00DF401F"/>
    <w:rsid w:val="00DF6112"/>
    <w:rsid w:val="00E00460"/>
    <w:rsid w:val="00E10A2E"/>
    <w:rsid w:val="00E20CD5"/>
    <w:rsid w:val="00E22C74"/>
    <w:rsid w:val="00E255FB"/>
    <w:rsid w:val="00E33A93"/>
    <w:rsid w:val="00E469B9"/>
    <w:rsid w:val="00E471CD"/>
    <w:rsid w:val="00E53F29"/>
    <w:rsid w:val="00E54DD9"/>
    <w:rsid w:val="00E773A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50876"/>
    <w:rsid w:val="00F613FE"/>
    <w:rsid w:val="00F61D36"/>
    <w:rsid w:val="00F6466E"/>
    <w:rsid w:val="00F8032F"/>
    <w:rsid w:val="00F9044E"/>
    <w:rsid w:val="00F921F7"/>
    <w:rsid w:val="00F97F6F"/>
    <w:rsid w:val="00FA38CA"/>
    <w:rsid w:val="00FB443D"/>
    <w:rsid w:val="00FC1A6B"/>
    <w:rsid w:val="00FE2387"/>
    <w:rsid w:val="00FE3701"/>
    <w:rsid w:val="00FE644F"/>
    <w:rsid w:val="00FF2246"/>
    <w:rsid w:val="00FF245D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f8">
    <w:name w:val="Body Text"/>
    <w:basedOn w:val="a"/>
    <w:link w:val="af9"/>
    <w:uiPriority w:val="1"/>
    <w:qFormat/>
    <w:rsid w:val="007536A9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9">
    <w:name w:val="Основной текст Знак"/>
    <w:basedOn w:val="a0"/>
    <w:link w:val="af8"/>
    <w:uiPriority w:val="1"/>
    <w:rsid w:val="007536A9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a">
    <w:name w:val="Hyperlink"/>
    <w:uiPriority w:val="99"/>
    <w:unhideWhenUsed/>
    <w:rsid w:val="00D26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B18A-DF2F-4035-9876-4A0D9FF9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12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26</cp:revision>
  <cp:lastPrinted>2022-08-30T11:57:00Z</cp:lastPrinted>
  <dcterms:created xsi:type="dcterms:W3CDTF">2022-08-22T13:17:00Z</dcterms:created>
  <dcterms:modified xsi:type="dcterms:W3CDTF">2022-09-02T05:40:00Z</dcterms:modified>
</cp:coreProperties>
</file>