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9" w:rsidRPr="00C24D59" w:rsidRDefault="00C24D59" w:rsidP="00C24D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Буреновой</w:t>
      </w:r>
      <w:proofErr w:type="spellEnd"/>
    </w:p>
    <w:p w:rsidR="00CF00D1" w:rsidRPr="001F152F" w:rsidRDefault="00AF4483" w:rsidP="001F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2F">
        <w:rPr>
          <w:rFonts w:ascii="Times New Roman" w:hAnsi="Times New Roman" w:cs="Times New Roman"/>
          <w:b/>
          <w:sz w:val="28"/>
          <w:szCs w:val="28"/>
        </w:rPr>
        <w:t>Выступление на коллегии Поволжского управления</w:t>
      </w:r>
    </w:p>
    <w:p w:rsidR="00AF4483" w:rsidRPr="001F152F" w:rsidRDefault="00AF4483" w:rsidP="001F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2F">
        <w:rPr>
          <w:rFonts w:ascii="Times New Roman" w:hAnsi="Times New Roman" w:cs="Times New Roman"/>
          <w:b/>
          <w:sz w:val="28"/>
          <w:szCs w:val="28"/>
        </w:rPr>
        <w:t xml:space="preserve">«О проекте государственного задания </w:t>
      </w:r>
      <w:proofErr w:type="spellStart"/>
      <w:r w:rsidRPr="001F152F">
        <w:rPr>
          <w:rFonts w:ascii="Times New Roman" w:hAnsi="Times New Roman" w:cs="Times New Roman"/>
          <w:b/>
          <w:sz w:val="28"/>
          <w:szCs w:val="28"/>
        </w:rPr>
        <w:t>Новокуйбышевскому</w:t>
      </w:r>
      <w:proofErr w:type="spellEnd"/>
      <w:r w:rsidRPr="001F152F">
        <w:rPr>
          <w:rFonts w:ascii="Times New Roman" w:hAnsi="Times New Roman" w:cs="Times New Roman"/>
          <w:b/>
          <w:sz w:val="28"/>
          <w:szCs w:val="28"/>
        </w:rPr>
        <w:t xml:space="preserve"> ресурсному центру на 2021 год»</w:t>
      </w:r>
    </w:p>
    <w:p w:rsidR="001F152F" w:rsidRDefault="001F152F" w:rsidP="001F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83" w:rsidRDefault="00AF4483" w:rsidP="001F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коллегии! Формирование государственного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ресурсного центра на очередной календарны</w:t>
      </w:r>
      <w:r w:rsidR="00C755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 всегда было</w:t>
      </w:r>
      <w:r w:rsidR="00C75569">
        <w:rPr>
          <w:rFonts w:ascii="Times New Roman" w:hAnsi="Times New Roman" w:cs="Times New Roman"/>
          <w:sz w:val="28"/>
          <w:szCs w:val="28"/>
        </w:rPr>
        <w:t xml:space="preserve"> одним из ключе</w:t>
      </w:r>
      <w:r w:rsidR="00380928">
        <w:rPr>
          <w:rFonts w:ascii="Times New Roman" w:hAnsi="Times New Roman" w:cs="Times New Roman"/>
          <w:sz w:val="28"/>
          <w:szCs w:val="28"/>
        </w:rPr>
        <w:t>в</w:t>
      </w:r>
      <w:r w:rsidR="00C75569">
        <w:rPr>
          <w:rFonts w:ascii="Times New Roman" w:hAnsi="Times New Roman" w:cs="Times New Roman"/>
          <w:sz w:val="28"/>
          <w:szCs w:val="28"/>
        </w:rPr>
        <w:t>ых со</w:t>
      </w:r>
      <w:r w:rsidR="00380928">
        <w:rPr>
          <w:rFonts w:ascii="Times New Roman" w:hAnsi="Times New Roman" w:cs="Times New Roman"/>
          <w:sz w:val="28"/>
          <w:szCs w:val="28"/>
        </w:rPr>
        <w:t>бы</w:t>
      </w:r>
      <w:r w:rsidR="00C75569">
        <w:rPr>
          <w:rFonts w:ascii="Times New Roman" w:hAnsi="Times New Roman" w:cs="Times New Roman"/>
          <w:sz w:val="28"/>
          <w:szCs w:val="28"/>
        </w:rPr>
        <w:t>тий в жи</w:t>
      </w:r>
      <w:r w:rsidR="00380928">
        <w:rPr>
          <w:rFonts w:ascii="Times New Roman" w:hAnsi="Times New Roman" w:cs="Times New Roman"/>
          <w:sz w:val="28"/>
          <w:szCs w:val="28"/>
        </w:rPr>
        <w:t>зн</w:t>
      </w:r>
      <w:r w:rsidR="00E301DE">
        <w:rPr>
          <w:rFonts w:ascii="Times New Roman" w:hAnsi="Times New Roman" w:cs="Times New Roman"/>
          <w:sz w:val="28"/>
          <w:szCs w:val="28"/>
        </w:rPr>
        <w:t>и</w:t>
      </w:r>
      <w:r w:rsidR="00C75569">
        <w:rPr>
          <w:rFonts w:ascii="Times New Roman" w:hAnsi="Times New Roman" w:cs="Times New Roman"/>
          <w:sz w:val="28"/>
          <w:szCs w:val="28"/>
        </w:rPr>
        <w:t xml:space="preserve"> </w:t>
      </w:r>
      <w:r w:rsidR="00380928">
        <w:rPr>
          <w:rFonts w:ascii="Times New Roman" w:hAnsi="Times New Roman" w:cs="Times New Roman"/>
          <w:sz w:val="28"/>
          <w:szCs w:val="28"/>
        </w:rPr>
        <w:t xml:space="preserve">не </w:t>
      </w:r>
      <w:r w:rsidR="001F152F">
        <w:rPr>
          <w:rFonts w:ascii="Times New Roman" w:hAnsi="Times New Roman" w:cs="Times New Roman"/>
          <w:sz w:val="28"/>
          <w:szCs w:val="28"/>
        </w:rPr>
        <w:t>только нашей организации, но и</w:t>
      </w:r>
      <w:r w:rsidR="00380928">
        <w:rPr>
          <w:rFonts w:ascii="Times New Roman" w:hAnsi="Times New Roman" w:cs="Times New Roman"/>
          <w:sz w:val="28"/>
          <w:szCs w:val="28"/>
        </w:rPr>
        <w:t xml:space="preserve"> всег</w:t>
      </w:r>
      <w:r w:rsidR="00C75569">
        <w:rPr>
          <w:rFonts w:ascii="Times New Roman" w:hAnsi="Times New Roman" w:cs="Times New Roman"/>
          <w:sz w:val="28"/>
          <w:szCs w:val="28"/>
        </w:rPr>
        <w:t xml:space="preserve">о </w:t>
      </w:r>
      <w:r w:rsidR="00380928">
        <w:rPr>
          <w:rFonts w:ascii="Times New Roman" w:hAnsi="Times New Roman" w:cs="Times New Roman"/>
          <w:sz w:val="28"/>
          <w:szCs w:val="28"/>
        </w:rPr>
        <w:t>округа</w:t>
      </w:r>
      <w:r w:rsidR="00E301DE">
        <w:rPr>
          <w:rFonts w:ascii="Times New Roman" w:hAnsi="Times New Roman" w:cs="Times New Roman"/>
          <w:sz w:val="28"/>
          <w:szCs w:val="28"/>
        </w:rPr>
        <w:t>, так как именно ресурсный центр своими мероприятиями поддерживает единство образовательной среды территор</w:t>
      </w:r>
      <w:proofErr w:type="gramStart"/>
      <w:r w:rsidR="00E301DE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E301DE">
        <w:rPr>
          <w:rFonts w:ascii="Times New Roman" w:hAnsi="Times New Roman" w:cs="Times New Roman"/>
          <w:sz w:val="28"/>
          <w:szCs w:val="28"/>
        </w:rPr>
        <w:t xml:space="preserve"> развитие в соответствии с региональными ключевыми направлениями.</w:t>
      </w:r>
    </w:p>
    <w:p w:rsidR="00C75569" w:rsidRDefault="0037339B" w:rsidP="001F152F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7339B">
        <w:rPr>
          <w:rFonts w:ascii="Times New Roman" w:hAnsi="Times New Roman" w:cs="Times New Roman"/>
          <w:i w:val="0"/>
          <w:sz w:val="28"/>
          <w:szCs w:val="28"/>
        </w:rPr>
        <w:t>Однако в этом году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7339B">
        <w:rPr>
          <w:rFonts w:ascii="Times New Roman" w:hAnsi="Times New Roman" w:cs="Times New Roman"/>
          <w:i w:val="0"/>
          <w:sz w:val="28"/>
          <w:szCs w:val="28"/>
        </w:rPr>
        <w:t>процесс формирования проекта ГЗ имеет свои специфические особенности.</w:t>
      </w:r>
    </w:p>
    <w:p w:rsidR="008637C6" w:rsidRPr="008637C6" w:rsidRDefault="0037339B" w:rsidP="001F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Во-первых, следует подчеркнуть, что проект ГЗ кардинально изменился по сравнению с 2020 годом.</w:t>
      </w:r>
      <w:r w:rsidR="008637C6">
        <w:rPr>
          <w:rFonts w:ascii="Times New Roman" w:hAnsi="Times New Roman" w:cs="Times New Roman"/>
          <w:sz w:val="28"/>
          <w:szCs w:val="28"/>
        </w:rPr>
        <w:t xml:space="preserve"> Физически это выразилось в том, что значительно </w:t>
      </w:r>
      <w:r w:rsidR="008637C6" w:rsidRPr="008637C6">
        <w:rPr>
          <w:rFonts w:ascii="Times New Roman" w:hAnsi="Times New Roman" w:cs="Times New Roman"/>
          <w:sz w:val="28"/>
          <w:szCs w:val="28"/>
        </w:rPr>
        <w:t>(</w:t>
      </w:r>
      <w:r w:rsidR="008637C6">
        <w:rPr>
          <w:rFonts w:ascii="Times New Roman" w:hAnsi="Times New Roman" w:cs="Times New Roman"/>
          <w:sz w:val="28"/>
          <w:szCs w:val="28"/>
        </w:rPr>
        <w:t xml:space="preserve">примерно на </w:t>
      </w:r>
      <w:r w:rsidR="008637C6" w:rsidRPr="008637C6">
        <w:rPr>
          <w:rFonts w:ascii="Times New Roman" w:hAnsi="Times New Roman" w:cs="Times New Roman"/>
          <w:sz w:val="28"/>
          <w:szCs w:val="28"/>
        </w:rPr>
        <w:t xml:space="preserve"> 25%) уменьш</w:t>
      </w:r>
      <w:r w:rsidR="008637C6">
        <w:rPr>
          <w:rFonts w:ascii="Times New Roman" w:hAnsi="Times New Roman" w:cs="Times New Roman"/>
          <w:sz w:val="28"/>
          <w:szCs w:val="28"/>
        </w:rPr>
        <w:t>ился</w:t>
      </w:r>
      <w:r w:rsidR="008637C6" w:rsidRPr="008637C6">
        <w:rPr>
          <w:rFonts w:ascii="Times New Roman" w:hAnsi="Times New Roman" w:cs="Times New Roman"/>
          <w:sz w:val="28"/>
          <w:szCs w:val="28"/>
        </w:rPr>
        <w:t xml:space="preserve"> объём часов выполняемых в рамках ГЗ работ</w:t>
      </w:r>
      <w:r w:rsidR="001F152F">
        <w:rPr>
          <w:rFonts w:ascii="Times New Roman" w:hAnsi="Times New Roman" w:cs="Times New Roman"/>
          <w:sz w:val="28"/>
          <w:szCs w:val="28"/>
        </w:rPr>
        <w:t xml:space="preserve"> (с 102294 часов в 2020 году до 76752 часов в 2021 году)</w:t>
      </w:r>
      <w:r w:rsidR="008637C6" w:rsidRPr="008637C6">
        <w:rPr>
          <w:rFonts w:ascii="Times New Roman" w:hAnsi="Times New Roman" w:cs="Times New Roman"/>
          <w:sz w:val="28"/>
          <w:szCs w:val="28"/>
        </w:rPr>
        <w:t xml:space="preserve">. Произошло это вследствие использования новой методики расчёта часов, проработанной в </w:t>
      </w:r>
      <w:proofErr w:type="spellStart"/>
      <w:r w:rsidR="008637C6" w:rsidRPr="008637C6">
        <w:rPr>
          <w:rFonts w:ascii="Times New Roman" w:hAnsi="Times New Roman" w:cs="Times New Roman"/>
          <w:sz w:val="28"/>
          <w:szCs w:val="28"/>
        </w:rPr>
        <w:t>МО</w:t>
      </w:r>
      <w:r w:rsidR="008637C6">
        <w:rPr>
          <w:rFonts w:ascii="Times New Roman" w:hAnsi="Times New Roman" w:cs="Times New Roman"/>
          <w:sz w:val="28"/>
          <w:szCs w:val="28"/>
        </w:rPr>
        <w:t>и</w:t>
      </w:r>
      <w:r w:rsidR="008637C6" w:rsidRPr="008637C6">
        <w:rPr>
          <w:rFonts w:ascii="Times New Roman" w:hAnsi="Times New Roman" w:cs="Times New Roman"/>
          <w:sz w:val="28"/>
          <w:szCs w:val="28"/>
        </w:rPr>
        <w:t>НСО</w:t>
      </w:r>
      <w:proofErr w:type="spellEnd"/>
      <w:r w:rsidR="008637C6" w:rsidRPr="008637C6">
        <w:rPr>
          <w:rFonts w:ascii="Times New Roman" w:hAnsi="Times New Roman" w:cs="Times New Roman"/>
          <w:sz w:val="28"/>
          <w:szCs w:val="28"/>
        </w:rPr>
        <w:t xml:space="preserve"> и рекомендованной к использованию. </w:t>
      </w:r>
      <w:r w:rsidR="008637C6">
        <w:rPr>
          <w:rFonts w:ascii="Times New Roman" w:hAnsi="Times New Roman" w:cs="Times New Roman"/>
          <w:sz w:val="28"/>
          <w:szCs w:val="28"/>
        </w:rPr>
        <w:t>Д</w:t>
      </w:r>
      <w:r w:rsidR="008637C6" w:rsidRPr="008637C6">
        <w:rPr>
          <w:rFonts w:ascii="Times New Roman" w:hAnsi="Times New Roman" w:cs="Times New Roman"/>
          <w:sz w:val="28"/>
          <w:szCs w:val="28"/>
        </w:rPr>
        <w:t xml:space="preserve">анные шаги призваны обеспечить выполнение постановления Правительства Самарской области, утверждающее с 1 января 2021 года новые оклады ряда работников (для нас, прежде всего, важно – методистов). </w:t>
      </w:r>
    </w:p>
    <w:p w:rsidR="00766E65" w:rsidRDefault="008637C6" w:rsidP="001F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C6">
        <w:rPr>
          <w:rFonts w:ascii="Times New Roman" w:hAnsi="Times New Roman" w:cs="Times New Roman"/>
          <w:sz w:val="28"/>
          <w:szCs w:val="28"/>
        </w:rPr>
        <w:t xml:space="preserve">Следует подчеркнуть, что уменьшение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637C6">
        <w:rPr>
          <w:rFonts w:ascii="Times New Roman" w:hAnsi="Times New Roman" w:cs="Times New Roman"/>
          <w:sz w:val="28"/>
          <w:szCs w:val="28"/>
        </w:rPr>
        <w:t xml:space="preserve">количества часов государственного задания, выполняемого специалистами Ресурсного центра, не означает уменьшения их заработной платы. Т.е. социальные гарантии для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8637C6">
        <w:rPr>
          <w:rFonts w:ascii="Times New Roman" w:hAnsi="Times New Roman" w:cs="Times New Roman"/>
          <w:sz w:val="28"/>
          <w:szCs w:val="28"/>
        </w:rPr>
        <w:t>работников сохраняются.</w:t>
      </w:r>
      <w:r w:rsidR="00766E65" w:rsidRPr="00766E65">
        <w:rPr>
          <w:rFonts w:ascii="Times New Roman" w:hAnsi="Times New Roman" w:cs="Times New Roman"/>
          <w:sz w:val="28"/>
          <w:szCs w:val="28"/>
        </w:rPr>
        <w:t xml:space="preserve"> Но само по себе уменьшение количества часов, естественно, заставило нас значительно скорректировать государственное задание.</w:t>
      </w:r>
    </w:p>
    <w:p w:rsidR="00932E66" w:rsidRPr="00932E66" w:rsidRDefault="001F152F" w:rsidP="00932E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Произошли и большие содержательные изменения. Министерство изменило подход к формированию государственных заданий ресурсных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центров области, определив, что СИПКРО (с 2021 года – РИРО) подготовит так называемое модельное государственное задание</w:t>
      </w:r>
      <w:r w:rsidR="00777885">
        <w:rPr>
          <w:rFonts w:ascii="Times New Roman" w:hAnsi="Times New Roman" w:cs="Times New Roman"/>
          <w:sz w:val="28"/>
          <w:szCs w:val="28"/>
        </w:rPr>
        <w:t>, на которое все должны жёстко ориентироваться. Сделано это для большей унификации деятельности ресурсных центров, которые, прежде всего, должны обеспечивать проведение единой региональной политики в области образования.</w:t>
      </w:r>
      <w:r w:rsidR="00932E66">
        <w:rPr>
          <w:rFonts w:ascii="Times New Roman" w:hAnsi="Times New Roman" w:cs="Times New Roman"/>
          <w:sz w:val="28"/>
          <w:szCs w:val="28"/>
        </w:rPr>
        <w:t xml:space="preserve"> Так в государственном задании </w:t>
      </w:r>
      <w:proofErr w:type="spellStart"/>
      <w:r w:rsidR="00932E66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="00932E66">
        <w:rPr>
          <w:rFonts w:ascii="Times New Roman" w:hAnsi="Times New Roman" w:cs="Times New Roman"/>
          <w:sz w:val="28"/>
          <w:szCs w:val="28"/>
        </w:rPr>
        <w:t xml:space="preserve"> ресурсного центра появились </w:t>
      </w:r>
      <w:r w:rsidR="00932E66" w:rsidRPr="00932E66">
        <w:rPr>
          <w:rFonts w:ascii="Times New Roman" w:hAnsi="Times New Roman" w:cs="Times New Roman"/>
          <w:sz w:val="28"/>
          <w:szCs w:val="28"/>
        </w:rPr>
        <w:t>обозначенные СИПКРО направления деятельности:</w:t>
      </w:r>
      <w:r w:rsidR="00932E66">
        <w:rPr>
          <w:rFonts w:ascii="Times New Roman" w:hAnsi="Times New Roman" w:cs="Times New Roman"/>
          <w:sz w:val="28"/>
          <w:szCs w:val="28"/>
        </w:rPr>
        <w:t xml:space="preserve"> </w:t>
      </w:r>
      <w:r w:rsidR="00932E66" w:rsidRPr="00932E66">
        <w:rPr>
          <w:rFonts w:ascii="Times New Roman" w:hAnsi="Times New Roman" w:cs="Times New Roman"/>
          <w:sz w:val="28"/>
          <w:szCs w:val="28"/>
        </w:rPr>
        <w:t xml:space="preserve">"Реализация региональной программы по формированию навыков функциональной грамотности"; "Обеспечение ведения регионального рейтинга школ"; "Развитие воспитательных технологий"; </w:t>
      </w:r>
      <w:r w:rsidR="00932E66" w:rsidRPr="00932E66">
        <w:rPr>
          <w:rFonts w:ascii="Times New Roman" w:hAnsi="Times New Roman" w:cs="Times New Roman"/>
          <w:bCs/>
          <w:sz w:val="28"/>
          <w:szCs w:val="28"/>
        </w:rPr>
        <w:t>"Работа со ШНОР. Внедрение технологий обучения детей с низкой мотивацией к учению" и другие.</w:t>
      </w:r>
      <w:r w:rsidR="00932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E66" w:rsidRPr="00932E66">
        <w:rPr>
          <w:rFonts w:ascii="Times New Roman" w:hAnsi="Times New Roman" w:cs="Times New Roman"/>
          <w:bCs/>
          <w:sz w:val="28"/>
          <w:szCs w:val="28"/>
        </w:rPr>
        <w:t>Следует отметить, что многие из них</w:t>
      </w:r>
      <w:r w:rsidR="00932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E66" w:rsidRPr="00932E66">
        <w:rPr>
          <w:rFonts w:ascii="Times New Roman" w:hAnsi="Times New Roman" w:cs="Times New Roman"/>
          <w:bCs/>
          <w:sz w:val="28"/>
          <w:szCs w:val="28"/>
        </w:rPr>
        <w:t>уже были предусмотрены в нашем государственном задании заранее.</w:t>
      </w:r>
    </w:p>
    <w:p w:rsidR="00B76A73" w:rsidRDefault="00B76A73" w:rsidP="00B76A7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3">
        <w:rPr>
          <w:rFonts w:ascii="Times New Roman" w:hAnsi="Times New Roman" w:cs="Times New Roman"/>
          <w:sz w:val="28"/>
          <w:szCs w:val="28"/>
        </w:rPr>
        <w:t>В ходе работы над проектом государственного задания мы постарались учесть пожелания профессионально-общественной экспертизы проекта руководителями ОО Поволжского округа. Следует отметить, что такая процедура проводилась у нас впервые, по инициативе Поволжского управления. Основной её целью было – максимально учесть потребности образовательных организаций округа (в той части, где они по каким-то причинам ещё не были учтены). Данная процедура показала свою целесообразность, руководители ОО подошли к экспертизе весьма взвешенно и вдумчиво. В результате было внесено в государственное задание около 80% пожеланий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95">
        <w:rPr>
          <w:rFonts w:ascii="Times New Roman" w:hAnsi="Times New Roman" w:cs="Times New Roman"/>
          <w:sz w:val="28"/>
          <w:szCs w:val="28"/>
        </w:rPr>
        <w:t>(</w:t>
      </w:r>
      <w:r w:rsidRPr="00C25E95">
        <w:rPr>
          <w:rFonts w:ascii="Times New Roman" w:hAnsi="Times New Roman" w:cs="Times New Roman"/>
          <w:bCs/>
          <w:sz w:val="28"/>
          <w:szCs w:val="28"/>
        </w:rPr>
        <w:t xml:space="preserve">Семинар   "Внедрение и реализация </w:t>
      </w:r>
      <w:proofErr w:type="spellStart"/>
      <w:r w:rsidRPr="00C25E95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C25E95">
        <w:rPr>
          <w:rFonts w:ascii="Times New Roman" w:hAnsi="Times New Roman" w:cs="Times New Roman"/>
          <w:bCs/>
          <w:sz w:val="28"/>
          <w:szCs w:val="28"/>
        </w:rPr>
        <w:t xml:space="preserve"> подготовки учащихся 9 классов с использованием АИС "</w:t>
      </w:r>
      <w:proofErr w:type="spellStart"/>
      <w:r w:rsidRPr="00C25E95">
        <w:rPr>
          <w:rFonts w:ascii="Times New Roman" w:hAnsi="Times New Roman" w:cs="Times New Roman"/>
          <w:bCs/>
          <w:sz w:val="28"/>
          <w:szCs w:val="28"/>
        </w:rPr>
        <w:t>Предпрофильная</w:t>
      </w:r>
      <w:proofErr w:type="spellEnd"/>
      <w:r w:rsidRPr="00C25E95">
        <w:rPr>
          <w:rFonts w:ascii="Times New Roman" w:hAnsi="Times New Roman" w:cs="Times New Roman"/>
          <w:bCs/>
          <w:sz w:val="28"/>
          <w:szCs w:val="28"/>
        </w:rPr>
        <w:t xml:space="preserve"> подготовка», Семинар "Использование федеральной информационно-сервисной платформы ЦОС для "горизонтального" обучения и неформального образования", "Методическое сопровождение работы Школьных спортивных клубов"). </w:t>
      </w:r>
    </w:p>
    <w:p w:rsidR="008270EA" w:rsidRDefault="00C25E95" w:rsidP="008270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E95">
        <w:rPr>
          <w:rFonts w:ascii="Times New Roman" w:hAnsi="Times New Roman" w:cs="Times New Roman"/>
          <w:bCs/>
          <w:sz w:val="28"/>
          <w:szCs w:val="28"/>
        </w:rPr>
        <w:t xml:space="preserve">С учётом всех вышеозначенных предложений, свои рекомендации нам </w:t>
      </w:r>
      <w:r>
        <w:rPr>
          <w:rFonts w:ascii="Times New Roman" w:hAnsi="Times New Roman" w:cs="Times New Roman"/>
          <w:bCs/>
          <w:sz w:val="28"/>
          <w:szCs w:val="28"/>
        </w:rPr>
        <w:t>сформулировало</w:t>
      </w:r>
      <w:r w:rsidRPr="00C25E95">
        <w:rPr>
          <w:rFonts w:ascii="Times New Roman" w:hAnsi="Times New Roman" w:cs="Times New Roman"/>
          <w:bCs/>
          <w:sz w:val="28"/>
          <w:szCs w:val="28"/>
        </w:rPr>
        <w:t xml:space="preserve"> Поволжское управление. Естественно, что все они были </w:t>
      </w:r>
      <w:r w:rsidRPr="00C25E95">
        <w:rPr>
          <w:rFonts w:ascii="Times New Roman" w:hAnsi="Times New Roman" w:cs="Times New Roman"/>
          <w:bCs/>
          <w:sz w:val="28"/>
          <w:szCs w:val="28"/>
        </w:rPr>
        <w:lastRenderedPageBreak/>
        <w:t>включены в государственное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0EA">
        <w:rPr>
          <w:rFonts w:ascii="Times New Roman" w:hAnsi="Times New Roman" w:cs="Times New Roman"/>
          <w:bCs/>
          <w:sz w:val="28"/>
          <w:szCs w:val="28"/>
        </w:rPr>
        <w:t>(</w:t>
      </w:r>
      <w:r w:rsidR="008270EA" w:rsidRPr="008270EA">
        <w:rPr>
          <w:rFonts w:ascii="Times New Roman" w:hAnsi="Times New Roman" w:cs="Times New Roman"/>
          <w:bCs/>
          <w:sz w:val="28"/>
          <w:szCs w:val="28"/>
        </w:rPr>
        <w:t xml:space="preserve">"Территориальная контрольная работа (пробный ЕГЭ) для обучающихся 11-х классов, претендующих на получение медали», «Методическое сопровождение деятельности специалистов школьных ПМПК", «Мониторинговое сопровождение обработки результатов ВПР средствами модуля МСОКО»). </w:t>
      </w:r>
    </w:p>
    <w:p w:rsidR="003648E6" w:rsidRDefault="003648E6" w:rsidP="003648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8E6">
        <w:rPr>
          <w:rFonts w:ascii="Times New Roman" w:hAnsi="Times New Roman" w:cs="Times New Roman"/>
          <w:bCs/>
          <w:sz w:val="28"/>
          <w:szCs w:val="28"/>
        </w:rPr>
        <w:t xml:space="preserve">Вся эта кропотливая работа над проектом государственного задания позволила сосредоточить ресурсы, прежде всего, на ключевых содержательных направлениях деятельности.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241"/>
      </w:tblGrid>
      <w:tr w:rsidR="003648E6" w:rsidTr="003648E6">
        <w:tc>
          <w:tcPr>
            <w:tcW w:w="7196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41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3648E6" w:rsidTr="003648E6">
        <w:tc>
          <w:tcPr>
            <w:tcW w:w="7196" w:type="dxa"/>
          </w:tcPr>
          <w:p w:rsid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 деятельности ТУМО </w:t>
            </w:r>
            <w:proofErr w:type="spell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м.р.Волжский</w:t>
            </w:r>
            <w:proofErr w:type="spellEnd"/>
          </w:p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  <w:tc>
          <w:tcPr>
            <w:tcW w:w="1241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1,6%</w:t>
            </w:r>
          </w:p>
        </w:tc>
      </w:tr>
      <w:tr w:rsidR="003648E6" w:rsidTr="003648E6">
        <w:tc>
          <w:tcPr>
            <w:tcW w:w="7196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 формирования функциональной грамотности обучающихся в школах </w:t>
            </w:r>
            <w:proofErr w:type="spell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1134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2,1%</w:t>
            </w:r>
          </w:p>
        </w:tc>
        <w:tc>
          <w:tcPr>
            <w:tcW w:w="1241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1,5%</w:t>
            </w:r>
          </w:p>
        </w:tc>
      </w:tr>
      <w:tr w:rsidR="003648E6" w:rsidTr="003648E6">
        <w:tc>
          <w:tcPr>
            <w:tcW w:w="7196" w:type="dxa"/>
          </w:tcPr>
          <w:p w:rsid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ОМС школ с низкими образовательными результатами</w:t>
            </w:r>
          </w:p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1,6%</w:t>
            </w:r>
          </w:p>
        </w:tc>
        <w:tc>
          <w:tcPr>
            <w:tcW w:w="1241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648E6" w:rsidTr="003648E6">
        <w:tc>
          <w:tcPr>
            <w:tcW w:w="7196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 объективного оценивания образовательных результатов в школах  </w:t>
            </w:r>
            <w:proofErr w:type="spell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1134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1,8%</w:t>
            </w:r>
          </w:p>
        </w:tc>
        <w:tc>
          <w:tcPr>
            <w:tcW w:w="1241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</w:tr>
      <w:tr w:rsidR="003648E6" w:rsidTr="003648E6">
        <w:tc>
          <w:tcPr>
            <w:tcW w:w="7196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ОМС деятельности по внедрению целевой модели цифровой образовательной среды</w:t>
            </w:r>
          </w:p>
        </w:tc>
        <w:tc>
          <w:tcPr>
            <w:tcW w:w="1134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3,6%</w:t>
            </w:r>
          </w:p>
        </w:tc>
        <w:tc>
          <w:tcPr>
            <w:tcW w:w="1241" w:type="dxa"/>
          </w:tcPr>
          <w:p w:rsidR="003648E6" w:rsidRPr="003648E6" w:rsidRDefault="003648E6" w:rsidP="003648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8E6">
              <w:rPr>
                <w:rFonts w:ascii="Times New Roman" w:hAnsi="Times New Roman" w:cs="Times New Roman"/>
                <w:bCs/>
                <w:sz w:val="24"/>
                <w:szCs w:val="24"/>
              </w:rPr>
              <w:t>3,2%</w:t>
            </w:r>
          </w:p>
        </w:tc>
      </w:tr>
    </w:tbl>
    <w:p w:rsidR="003648E6" w:rsidRDefault="003648E6" w:rsidP="003648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8E6" w:rsidRPr="003648E6" w:rsidRDefault="003648E6" w:rsidP="003648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648E6">
        <w:rPr>
          <w:rFonts w:ascii="Times New Roman" w:hAnsi="Times New Roman" w:cs="Times New Roman"/>
          <w:bCs/>
          <w:sz w:val="28"/>
          <w:szCs w:val="28"/>
        </w:rPr>
        <w:t xml:space="preserve">ак вы </w:t>
      </w:r>
      <w:r w:rsidR="00D83E14">
        <w:rPr>
          <w:rFonts w:ascii="Times New Roman" w:hAnsi="Times New Roman" w:cs="Times New Roman"/>
          <w:bCs/>
          <w:sz w:val="28"/>
          <w:szCs w:val="28"/>
        </w:rPr>
        <w:t xml:space="preserve">видите </w:t>
      </w:r>
      <w:r>
        <w:rPr>
          <w:rFonts w:ascii="Times New Roman" w:hAnsi="Times New Roman" w:cs="Times New Roman"/>
          <w:bCs/>
          <w:sz w:val="28"/>
          <w:szCs w:val="28"/>
        </w:rPr>
        <w:t>в таблице</w:t>
      </w:r>
      <w:r w:rsidRPr="003648E6">
        <w:rPr>
          <w:rFonts w:ascii="Times New Roman" w:hAnsi="Times New Roman" w:cs="Times New Roman"/>
          <w:bCs/>
          <w:sz w:val="28"/>
          <w:szCs w:val="28"/>
        </w:rPr>
        <w:t>, это дало значительный (а по отдельным направлениям, например, сопровождение деятельности ТУМО  - очень значительный) прирост в доле часов от общего их объёма.  Подчеркнём – это удалось сделать в условиях существенного сокращения общего объёма часов государственного задания.</w:t>
      </w:r>
    </w:p>
    <w:p w:rsidR="00D83E14" w:rsidRDefault="00D83E14" w:rsidP="00D83E1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14">
        <w:rPr>
          <w:rFonts w:ascii="Times New Roman" w:hAnsi="Times New Roman" w:cs="Times New Roman"/>
          <w:bCs/>
          <w:sz w:val="28"/>
          <w:szCs w:val="28"/>
        </w:rPr>
        <w:t>Во что же реально воплощается это непросто полученное приращение? Один из показательных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примеров</w:t>
      </w:r>
      <w:r w:rsidRPr="00D83E14">
        <w:rPr>
          <w:rFonts w:ascii="Times New Roman" w:hAnsi="Times New Roman" w:cs="Times New Roman"/>
          <w:bCs/>
          <w:sz w:val="28"/>
          <w:szCs w:val="28"/>
        </w:rPr>
        <w:t xml:space="preserve">. Это то направление работы, которое нам удалось увеличить по сравнению с прошлым годом в наибольшей степени: «ОМС деятельности ТУМО </w:t>
      </w:r>
      <w:proofErr w:type="spellStart"/>
      <w:r w:rsidRPr="00D83E14">
        <w:rPr>
          <w:rFonts w:ascii="Times New Roman" w:hAnsi="Times New Roman" w:cs="Times New Roman"/>
          <w:bCs/>
          <w:sz w:val="28"/>
          <w:szCs w:val="28"/>
        </w:rPr>
        <w:t>г.о</w:t>
      </w:r>
      <w:proofErr w:type="gramStart"/>
      <w:r w:rsidRPr="00D83E1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D83E14">
        <w:rPr>
          <w:rFonts w:ascii="Times New Roman" w:hAnsi="Times New Roman" w:cs="Times New Roman"/>
          <w:bCs/>
          <w:sz w:val="28"/>
          <w:szCs w:val="28"/>
        </w:rPr>
        <w:t>овокуйбышевск</w:t>
      </w:r>
      <w:proofErr w:type="spellEnd"/>
      <w:r w:rsidRPr="00D83E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83E14">
        <w:rPr>
          <w:rFonts w:ascii="Times New Roman" w:hAnsi="Times New Roman" w:cs="Times New Roman"/>
          <w:bCs/>
          <w:sz w:val="28"/>
          <w:szCs w:val="28"/>
        </w:rPr>
        <w:t>м.р.Волжский</w:t>
      </w:r>
      <w:proofErr w:type="spellEnd"/>
      <w:r w:rsidRPr="00D83E14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83E14" w:rsidTr="00D83E14">
        <w:tc>
          <w:tcPr>
            <w:tcW w:w="7621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950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D83E14" w:rsidTr="00D83E14">
        <w:tc>
          <w:tcPr>
            <w:tcW w:w="7621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Территориальные методические дни на базе школ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1950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D83E14" w:rsidTr="00D83E14">
        <w:tc>
          <w:tcPr>
            <w:tcW w:w="7621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Выездные практикумы на базе школ 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м.р.Волжский</w:t>
            </w:r>
            <w:proofErr w:type="spellEnd"/>
          </w:p>
        </w:tc>
        <w:tc>
          <w:tcPr>
            <w:tcW w:w="1950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раза в год</w:t>
            </w:r>
          </w:p>
        </w:tc>
      </w:tr>
      <w:tr w:rsidR="00D83E14" w:rsidTr="00D83E14">
        <w:tc>
          <w:tcPr>
            <w:tcW w:w="7621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Семинары-практикумы для учителей школ  и УСПО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1950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4 раза в год</w:t>
            </w:r>
          </w:p>
        </w:tc>
      </w:tr>
      <w:tr w:rsidR="00D83E14" w:rsidTr="00D83E14">
        <w:tc>
          <w:tcPr>
            <w:tcW w:w="7621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для учителей школ и УСПО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овокуйбышевск</w:t>
            </w:r>
            <w:proofErr w:type="spellEnd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1950" w:type="dxa"/>
          </w:tcPr>
          <w:p w:rsidR="00D83E14" w:rsidRPr="00AA0DC3" w:rsidRDefault="00AA0DC3" w:rsidP="00AA0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D83E14" w:rsidRDefault="00D83E14" w:rsidP="00D83E1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E14" w:rsidRDefault="00D83E14" w:rsidP="00D83E1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14">
        <w:rPr>
          <w:rFonts w:ascii="Times New Roman" w:hAnsi="Times New Roman" w:cs="Times New Roman"/>
          <w:bCs/>
          <w:sz w:val="28"/>
          <w:szCs w:val="28"/>
        </w:rPr>
        <w:t>Как видим, нам удалось добиться главного: основной упор деятельности ТУМО сделан на конкретную предметную методическую работу с педагогами, во многом на базе самих ОО. И если территориальные методические дни на базе школ являются формой распространения удачного практического опыта</w:t>
      </w:r>
      <w:r w:rsidR="00AA0DC3">
        <w:rPr>
          <w:rFonts w:ascii="Times New Roman" w:hAnsi="Times New Roman" w:cs="Times New Roman"/>
          <w:bCs/>
          <w:sz w:val="28"/>
          <w:szCs w:val="28"/>
        </w:rPr>
        <w:t>,</w:t>
      </w:r>
      <w:r w:rsidRPr="00D83E14">
        <w:rPr>
          <w:rFonts w:ascii="Times New Roman" w:hAnsi="Times New Roman" w:cs="Times New Roman"/>
          <w:bCs/>
          <w:sz w:val="28"/>
          <w:szCs w:val="28"/>
        </w:rPr>
        <w:t xml:space="preserve"> как отдельных учителей, так и образовательных организаций в целом по отдельным тематическим направлениям, то выездные практикумы на базе школ являются формой оказания методической помощи школам по «западающим» направлениям деятельности.</w:t>
      </w:r>
    </w:p>
    <w:p w:rsidR="00FF44EB" w:rsidRPr="00FF44EB" w:rsidRDefault="00FF44EB" w:rsidP="00FF44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EB">
        <w:rPr>
          <w:rFonts w:ascii="Times New Roman" w:hAnsi="Times New Roman" w:cs="Times New Roman"/>
          <w:bCs/>
          <w:sz w:val="28"/>
          <w:szCs w:val="28"/>
        </w:rPr>
        <w:t>Все произведённые в проекте государственного задания изменения вовсе не означают, что мы отказались от наших традиционных, так сказать «любимых» меропри</w:t>
      </w:r>
      <w:r>
        <w:rPr>
          <w:rFonts w:ascii="Times New Roman" w:hAnsi="Times New Roman" w:cs="Times New Roman"/>
          <w:bCs/>
          <w:sz w:val="28"/>
          <w:szCs w:val="28"/>
        </w:rPr>
        <w:t>ятий. Они по-прежнему сохранены</w:t>
      </w:r>
      <w:r w:rsidRPr="00FF44EB">
        <w:rPr>
          <w:rFonts w:ascii="Times New Roman" w:hAnsi="Times New Roman" w:cs="Times New Roman"/>
          <w:bCs/>
          <w:sz w:val="28"/>
          <w:szCs w:val="28"/>
        </w:rPr>
        <w:t xml:space="preserve">. Это наши традиционные мероприятия для педагогов округа: «Территориальный методический семинар  «Результаты ГИА обучающихся как ресурс оценки качества образовательных услуг», который уже давно фактически является региональным,  сопровождение деятельности Ассоциации молодых педагогов и территориальных инновационных площадок. </w:t>
      </w:r>
      <w:r>
        <w:rPr>
          <w:rFonts w:ascii="Times New Roman" w:hAnsi="Times New Roman" w:cs="Times New Roman"/>
          <w:bCs/>
          <w:sz w:val="28"/>
          <w:szCs w:val="28"/>
        </w:rPr>
        <w:t>Идя в ногу со временем, м</w:t>
      </w:r>
      <w:r w:rsidRPr="00FF44EB">
        <w:rPr>
          <w:rFonts w:ascii="Times New Roman" w:hAnsi="Times New Roman" w:cs="Times New Roman"/>
          <w:bCs/>
          <w:sz w:val="28"/>
          <w:szCs w:val="28"/>
        </w:rPr>
        <w:t>ы немного обновляем форматы и наших двух террито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риальных </w:t>
      </w:r>
      <w:r w:rsidRPr="00FF44EB">
        <w:rPr>
          <w:rFonts w:ascii="Times New Roman" w:hAnsi="Times New Roman" w:cs="Times New Roman"/>
          <w:bCs/>
          <w:sz w:val="28"/>
          <w:szCs w:val="28"/>
        </w:rPr>
        <w:t>педагогических форумов.</w:t>
      </w:r>
    </w:p>
    <w:p w:rsidR="00FF44EB" w:rsidRPr="00FF44EB" w:rsidRDefault="00FF44EB" w:rsidP="00FF44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EB">
        <w:rPr>
          <w:rFonts w:ascii="Times New Roman" w:hAnsi="Times New Roman" w:cs="Times New Roman"/>
          <w:bCs/>
          <w:sz w:val="28"/>
          <w:szCs w:val="28"/>
        </w:rPr>
        <w:t>Есть у нас и традиционные мероприятия для детей. Это и Территориальная учебно-исследовательская конференция  учащихся 3 – 4 классов "</w:t>
      </w:r>
      <w:proofErr w:type="spellStart"/>
      <w:r w:rsidRPr="00FF44EB">
        <w:rPr>
          <w:rFonts w:ascii="Times New Roman" w:hAnsi="Times New Roman" w:cs="Times New Roman"/>
          <w:bCs/>
          <w:sz w:val="28"/>
          <w:szCs w:val="28"/>
        </w:rPr>
        <w:t>ЮниСтарт</w:t>
      </w:r>
      <w:proofErr w:type="spellEnd"/>
      <w:r w:rsidRPr="00FF44EB">
        <w:rPr>
          <w:rFonts w:ascii="Times New Roman" w:hAnsi="Times New Roman" w:cs="Times New Roman"/>
          <w:bCs/>
          <w:sz w:val="28"/>
          <w:szCs w:val="28"/>
        </w:rPr>
        <w:t xml:space="preserve">", и ОМС участия школьников ОО Поволжского округа в </w:t>
      </w:r>
      <w:proofErr w:type="gramStart"/>
      <w:r w:rsidRPr="00FF44EB">
        <w:rPr>
          <w:rFonts w:ascii="Times New Roman" w:hAnsi="Times New Roman" w:cs="Times New Roman"/>
          <w:bCs/>
          <w:sz w:val="28"/>
          <w:szCs w:val="28"/>
        </w:rPr>
        <w:t>территориальном</w:t>
      </w:r>
      <w:proofErr w:type="gramEnd"/>
      <w:r w:rsidRPr="00FF44EB">
        <w:rPr>
          <w:rFonts w:ascii="Times New Roman" w:hAnsi="Times New Roman" w:cs="Times New Roman"/>
          <w:bCs/>
          <w:sz w:val="28"/>
          <w:szCs w:val="28"/>
        </w:rPr>
        <w:t xml:space="preserve"> и региональном этапах открытой всероссийской интеллектуальной олимпиады "Наше наследие", и Зимний и летний территориальные фестивали ГТО. </w:t>
      </w:r>
    </w:p>
    <w:p w:rsidR="00FF44EB" w:rsidRDefault="00FF44EB" w:rsidP="00FF44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4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Конечно, следует сказать, что это лишь начало коренного пересмотра деятельности Ресурсного центра, и многое ещё предстоит осуществить, но, на наш взгляд, принципиальный шаг вперёд сделан. Вот так на сегодня выглядит в соответствии с новой методикой структуры государственного задания министерства образования и науки Самарской области проект государственного задания </w:t>
      </w:r>
      <w:proofErr w:type="spellStart"/>
      <w:r w:rsidRPr="00FF44EB">
        <w:rPr>
          <w:rFonts w:ascii="Times New Roman" w:hAnsi="Times New Roman" w:cs="Times New Roman"/>
          <w:bCs/>
          <w:sz w:val="28"/>
          <w:szCs w:val="28"/>
        </w:rPr>
        <w:t>Новокуйбышевского</w:t>
      </w:r>
      <w:proofErr w:type="spellEnd"/>
      <w:r w:rsidRPr="00FF44EB">
        <w:rPr>
          <w:rFonts w:ascii="Times New Roman" w:hAnsi="Times New Roman" w:cs="Times New Roman"/>
          <w:bCs/>
          <w:sz w:val="28"/>
          <w:szCs w:val="28"/>
        </w:rPr>
        <w:t xml:space="preserve"> ресурсного центра. Перед вами инвариантная часть.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241"/>
      </w:tblGrid>
      <w:tr w:rsidR="00C15A4D" w:rsidTr="00C15A4D">
        <w:tc>
          <w:tcPr>
            <w:tcW w:w="7196" w:type="dxa"/>
          </w:tcPr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41" w:type="dxa"/>
          </w:tcPr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F44EB" w:rsidTr="00C15A4D">
        <w:tc>
          <w:tcPr>
            <w:tcW w:w="7196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Учебно-методическая, организационно-методическая и информационно-методическая деятельность (сопровождение  реализации ФГОС, функциональной грамотности, МСОКО, деятельность ТУМО и др.)</w:t>
            </w: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19%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FF44EB" w:rsidTr="00C15A4D">
        <w:tc>
          <w:tcPr>
            <w:tcW w:w="7196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с детьми (научно-практические конференции, предметные олимпиады, конкурсы)</w:t>
            </w: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FF44EB" w:rsidTr="00C15A4D">
        <w:tc>
          <w:tcPr>
            <w:tcW w:w="7196" w:type="dxa"/>
          </w:tcPr>
          <w:p w:rsidR="00FF44EB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деятельности по </w:t>
            </w:r>
            <w:proofErr w:type="spellStart"/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здоровьесбережению</w:t>
            </w:r>
            <w:proofErr w:type="spellEnd"/>
          </w:p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3,5%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</w:tr>
      <w:tr w:rsidR="00FF44EB" w:rsidTr="00C15A4D">
        <w:tc>
          <w:tcPr>
            <w:tcW w:w="7196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Мониторинги системы образования и аналитическая деятельность процедур различного уровня (ГИА, ВПР, диагностических работ… и др.)</w:t>
            </w: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9,5%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8,5%</w:t>
            </w:r>
          </w:p>
        </w:tc>
      </w:tr>
      <w:tr w:rsidR="00FF44EB" w:rsidTr="00C15A4D">
        <w:tc>
          <w:tcPr>
            <w:tcW w:w="7196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адресной методической помощи ОО по результатам оценочных процедур</w:t>
            </w: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7%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FF44EB" w:rsidTr="00C15A4D">
        <w:tc>
          <w:tcPr>
            <w:tcW w:w="7196" w:type="dxa"/>
          </w:tcPr>
          <w:p w:rsidR="00FF44EB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аудит ООП, УМК…</w:t>
            </w:r>
          </w:p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1,5%</w:t>
            </w:r>
          </w:p>
        </w:tc>
      </w:tr>
      <w:tr w:rsidR="00FF44EB" w:rsidTr="00C15A4D">
        <w:tc>
          <w:tcPr>
            <w:tcW w:w="7196" w:type="dxa"/>
          </w:tcPr>
          <w:p w:rsidR="00FF44EB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АСУ РСО, Е-услуги, ФИС ФРДО, МСОКО</w:t>
            </w:r>
          </w:p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3,3%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FF44EB" w:rsidTr="00C15A4D">
        <w:tc>
          <w:tcPr>
            <w:tcW w:w="7196" w:type="dxa"/>
          </w:tcPr>
          <w:p w:rsidR="00FF44EB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статистика</w:t>
            </w:r>
          </w:p>
          <w:p w:rsidR="00C15A4D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241" w:type="dxa"/>
          </w:tcPr>
          <w:p w:rsidR="00FF44EB" w:rsidRPr="00C15A4D" w:rsidRDefault="00C15A4D" w:rsidP="00C15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4D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</w:tbl>
    <w:p w:rsidR="00FF44EB" w:rsidRPr="00FF44EB" w:rsidRDefault="00FF44EB" w:rsidP="0055489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F44EB" w:rsidRPr="00FF44EB" w:rsidSect="00CF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483"/>
    <w:rsid w:val="001F152F"/>
    <w:rsid w:val="00306F2F"/>
    <w:rsid w:val="003648E6"/>
    <w:rsid w:val="0037339B"/>
    <w:rsid w:val="00380928"/>
    <w:rsid w:val="003F2555"/>
    <w:rsid w:val="0055489A"/>
    <w:rsid w:val="00635DB3"/>
    <w:rsid w:val="006E64DA"/>
    <w:rsid w:val="00766E65"/>
    <w:rsid w:val="00777885"/>
    <w:rsid w:val="008270EA"/>
    <w:rsid w:val="008637C6"/>
    <w:rsid w:val="00932E66"/>
    <w:rsid w:val="00AA0DC3"/>
    <w:rsid w:val="00AF4483"/>
    <w:rsid w:val="00B76A73"/>
    <w:rsid w:val="00C15A4D"/>
    <w:rsid w:val="00C24D59"/>
    <w:rsid w:val="00C25E95"/>
    <w:rsid w:val="00C75569"/>
    <w:rsid w:val="00CF00D1"/>
    <w:rsid w:val="00D83E14"/>
    <w:rsid w:val="00E301D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755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75569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93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4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Д.А.</dc:creator>
  <cp:keywords/>
  <dc:description/>
  <cp:lastModifiedBy>Роман</cp:lastModifiedBy>
  <cp:revision>9</cp:revision>
  <dcterms:created xsi:type="dcterms:W3CDTF">2020-12-09T12:07:00Z</dcterms:created>
  <dcterms:modified xsi:type="dcterms:W3CDTF">2020-12-21T04:52:00Z</dcterms:modified>
</cp:coreProperties>
</file>